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304"/>
      </w:tblGrid>
      <w:tr w:rsidR="00775E33" w:rsidRPr="00891D0B" w14:paraId="000FEB04" w14:textId="77777777" w:rsidTr="00AF4FB1">
        <w:trPr>
          <w:cantSplit/>
        </w:trPr>
        <w:tc>
          <w:tcPr>
            <w:tcW w:w="1399" w:type="dxa"/>
            <w:vMerge w:val="restart"/>
          </w:tcPr>
          <w:p w14:paraId="44554105" w14:textId="77777777" w:rsidR="00775E33" w:rsidRPr="00891D0B" w:rsidRDefault="00775E33" w:rsidP="00AF4FB1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06772F7" wp14:editId="7BB263F7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5AC3263" w14:textId="77777777" w:rsidR="00775E33" w:rsidRPr="00891D0B" w:rsidRDefault="00775E33" w:rsidP="00AF4FB1">
            <w:r w:rsidRPr="00096326">
              <w:t>ASIA-PACIFIC TELECOMMUNITY</w:t>
            </w:r>
          </w:p>
        </w:tc>
        <w:tc>
          <w:tcPr>
            <w:tcW w:w="2304" w:type="dxa"/>
          </w:tcPr>
          <w:p w14:paraId="0A15C414" w14:textId="77777777" w:rsidR="00775E33" w:rsidRPr="00096326" w:rsidRDefault="00775E33" w:rsidP="00AF4FB1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775E33" w:rsidRPr="00C15799" w14:paraId="15C6FE0E" w14:textId="77777777" w:rsidTr="00AF4FB1">
        <w:trPr>
          <w:cantSplit/>
        </w:trPr>
        <w:tc>
          <w:tcPr>
            <w:tcW w:w="1399" w:type="dxa"/>
            <w:vMerge/>
          </w:tcPr>
          <w:p w14:paraId="7DB7B152" w14:textId="77777777" w:rsidR="00775E33" w:rsidRPr="00891D0B" w:rsidRDefault="00775E33" w:rsidP="00AF4FB1"/>
        </w:tc>
        <w:tc>
          <w:tcPr>
            <w:tcW w:w="5760" w:type="dxa"/>
          </w:tcPr>
          <w:p w14:paraId="0B1A91D4" w14:textId="77777777" w:rsidR="00775E33" w:rsidRPr="00891D0B" w:rsidRDefault="00775E33" w:rsidP="00AF4FB1">
            <w:pPr>
              <w:spacing w:line="0" w:lineRule="atLeast"/>
            </w:pPr>
            <w:r>
              <w:rPr>
                <w:b/>
              </w:rPr>
              <w:t>The 2nd Meeting of the APT Conference Preparatory  Group for WRC-19 (APG19-2)</w:t>
            </w:r>
          </w:p>
        </w:tc>
        <w:tc>
          <w:tcPr>
            <w:tcW w:w="2304" w:type="dxa"/>
          </w:tcPr>
          <w:p w14:paraId="155916A9" w14:textId="15D24D25" w:rsidR="00775E33" w:rsidRPr="00C15799" w:rsidRDefault="00775E33" w:rsidP="00AF4FB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APG19-2/OUT-38 (Rev.1)</w:t>
            </w:r>
          </w:p>
        </w:tc>
      </w:tr>
      <w:tr w:rsidR="00775E33" w:rsidRPr="00891D0B" w14:paraId="12F8732E" w14:textId="77777777" w:rsidTr="00AF4FB1">
        <w:trPr>
          <w:cantSplit/>
          <w:trHeight w:val="219"/>
        </w:trPr>
        <w:tc>
          <w:tcPr>
            <w:tcW w:w="1399" w:type="dxa"/>
            <w:vMerge/>
          </w:tcPr>
          <w:p w14:paraId="0E0D1C75" w14:textId="77777777" w:rsidR="00775E33" w:rsidRPr="00C15799" w:rsidRDefault="00775E33" w:rsidP="00AF4FB1">
            <w:pPr>
              <w:rPr>
                <w:lang w:val="fr-FR"/>
              </w:rPr>
            </w:pPr>
          </w:p>
        </w:tc>
        <w:tc>
          <w:tcPr>
            <w:tcW w:w="5760" w:type="dxa"/>
          </w:tcPr>
          <w:p w14:paraId="28095EEA" w14:textId="77777777" w:rsidR="00775E33" w:rsidRPr="00891D0B" w:rsidRDefault="00775E33" w:rsidP="00AF4FB1">
            <w:r>
              <w:t>17 – 21 July 2017</w:t>
            </w:r>
            <w:r w:rsidRPr="00891D0B">
              <w:t xml:space="preserve">, </w:t>
            </w:r>
            <w:r>
              <w:t>Bali, Republic of Indonesia</w:t>
            </w:r>
          </w:p>
        </w:tc>
        <w:tc>
          <w:tcPr>
            <w:tcW w:w="2304" w:type="dxa"/>
          </w:tcPr>
          <w:p w14:paraId="0A8B0982" w14:textId="77777777" w:rsidR="00775E33" w:rsidRPr="00712451" w:rsidRDefault="00775E33" w:rsidP="00AF4FB1">
            <w:pPr>
              <w:rPr>
                <w:b/>
              </w:rPr>
            </w:pPr>
            <w:r>
              <w:rPr>
                <w:b/>
              </w:rPr>
              <w:t>21 July 2017</w:t>
            </w:r>
          </w:p>
        </w:tc>
      </w:tr>
    </w:tbl>
    <w:p w14:paraId="29531366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0E027DF1" w14:textId="77777777" w:rsidR="00775E33" w:rsidRDefault="00775E33" w:rsidP="00775E33">
      <w:pPr>
        <w:spacing w:after="120"/>
        <w:jc w:val="center"/>
        <w:rPr>
          <w:lang w:eastAsia="ko-KR"/>
        </w:rPr>
      </w:pPr>
    </w:p>
    <w:p w14:paraId="5510D2FA" w14:textId="13B3B4BB" w:rsidR="00085F81" w:rsidRPr="00775E33" w:rsidRDefault="00E30ADA" w:rsidP="00775E33">
      <w:pPr>
        <w:spacing w:after="120"/>
        <w:jc w:val="center"/>
        <w:rPr>
          <w:lang w:eastAsia="ko-KR"/>
        </w:rPr>
      </w:pPr>
      <w:r w:rsidRPr="00775E33">
        <w:rPr>
          <w:lang w:eastAsia="ko-KR"/>
        </w:rPr>
        <w:t>Working Party 4</w:t>
      </w:r>
    </w:p>
    <w:p w14:paraId="1128E283" w14:textId="70291983" w:rsidR="001E3485" w:rsidRPr="00310152" w:rsidRDefault="00D1252E" w:rsidP="00775E33">
      <w:pPr>
        <w:spacing w:after="120"/>
        <w:jc w:val="center"/>
        <w:rPr>
          <w:b/>
          <w:bCs/>
          <w:caps/>
        </w:rPr>
      </w:pPr>
      <w:r w:rsidRPr="00310152">
        <w:rPr>
          <w:b/>
          <w:bCs/>
          <w:caps/>
        </w:rPr>
        <w:t>preliminary v</w:t>
      </w:r>
      <w:r w:rsidR="001C610F" w:rsidRPr="00310152">
        <w:rPr>
          <w:b/>
          <w:bCs/>
          <w:caps/>
        </w:rPr>
        <w:t>iews on WRC-1</w:t>
      </w:r>
      <w:r w:rsidR="00974576" w:rsidRPr="00310152">
        <w:rPr>
          <w:b/>
          <w:bCs/>
          <w:caps/>
        </w:rPr>
        <w:t>9</w:t>
      </w:r>
      <w:r w:rsidR="007A507E" w:rsidRPr="00310152">
        <w:rPr>
          <w:b/>
          <w:bCs/>
          <w:caps/>
        </w:rPr>
        <w:t xml:space="preserve"> agenda item </w:t>
      </w:r>
      <w:r w:rsidR="00E51E67" w:rsidRPr="00310152">
        <w:rPr>
          <w:b/>
          <w:bCs/>
          <w:caps/>
        </w:rPr>
        <w:t>1.3</w:t>
      </w:r>
      <w:r w:rsidR="001E3485" w:rsidRPr="00310152">
        <w:rPr>
          <w:b/>
          <w:bCs/>
          <w:caps/>
        </w:rPr>
        <w:t xml:space="preserve"> </w:t>
      </w:r>
    </w:p>
    <w:p w14:paraId="4C2EC3C8" w14:textId="77777777" w:rsidR="00DB0A68" w:rsidRDefault="00DB0A68" w:rsidP="00C357AD">
      <w:pPr>
        <w:jc w:val="center"/>
      </w:pPr>
    </w:p>
    <w:p w14:paraId="3919AE71" w14:textId="77777777" w:rsidR="00C357AD" w:rsidRDefault="00C357AD" w:rsidP="00C357AD">
      <w:pPr>
        <w:jc w:val="center"/>
        <w:rPr>
          <w:b/>
        </w:rPr>
      </w:pPr>
    </w:p>
    <w:p w14:paraId="5EF46F82" w14:textId="0F0BE18F" w:rsidR="001E3485" w:rsidRPr="00AD77F1" w:rsidRDefault="001E3485" w:rsidP="00AD77F1">
      <w:pPr>
        <w:jc w:val="both"/>
        <w:rPr>
          <w:b/>
          <w:lang w:eastAsia="ko-KR"/>
        </w:rPr>
      </w:pPr>
      <w:r w:rsidRPr="00AD77F1">
        <w:rPr>
          <w:b/>
        </w:rPr>
        <w:t xml:space="preserve">Agenda Item </w:t>
      </w:r>
      <w:r w:rsidR="00E51E67" w:rsidRPr="00AD77F1">
        <w:rPr>
          <w:b/>
          <w:lang w:eastAsia="ko-KR"/>
        </w:rPr>
        <w:t>1.3</w:t>
      </w:r>
      <w:r w:rsidRPr="00AD77F1">
        <w:rPr>
          <w:rFonts w:hint="eastAsia"/>
          <w:b/>
          <w:lang w:eastAsia="ko-KR"/>
        </w:rPr>
        <w:t xml:space="preserve">: </w:t>
      </w:r>
    </w:p>
    <w:p w14:paraId="2E151040" w14:textId="77777777" w:rsidR="00E51E67" w:rsidRPr="00E51E67" w:rsidRDefault="00E51E67" w:rsidP="00C357AD">
      <w:pPr>
        <w:jc w:val="both"/>
        <w:rPr>
          <w:rStyle w:val="ECCParagraph"/>
          <w:i/>
        </w:rPr>
      </w:pPr>
    </w:p>
    <w:p w14:paraId="2945F646" w14:textId="256FF52A" w:rsidR="00C357AD" w:rsidRPr="002740EA" w:rsidRDefault="002740EA" w:rsidP="00C357AD">
      <w:pPr>
        <w:jc w:val="both"/>
        <w:rPr>
          <w:rStyle w:val="ECCParagraph"/>
          <w:rFonts w:ascii="Times New Roman" w:hAnsi="Times New Roman"/>
          <w:i/>
          <w:sz w:val="24"/>
        </w:rPr>
      </w:pPr>
      <w:r w:rsidRPr="002740EA">
        <w:rPr>
          <w:rStyle w:val="ECCParagraph"/>
          <w:rFonts w:ascii="Times New Roman" w:hAnsi="Times New Roman"/>
          <w:i/>
          <w:sz w:val="24"/>
        </w:rPr>
        <w:t>T</w:t>
      </w:r>
      <w:r w:rsidR="00E51E67" w:rsidRPr="002740EA">
        <w:rPr>
          <w:rStyle w:val="ECCParagraph"/>
          <w:rFonts w:ascii="Times New Roman" w:hAnsi="Times New Roman"/>
          <w:i/>
          <w:sz w:val="24"/>
        </w:rPr>
        <w:t xml:space="preserve">o consider possible upgrading of the secondary allocation to the meteorological-satellite service (space-to-Earth) to primary status and a possible primary allocation to the Earth exploration-satellite service (space-to-Earth) in the frequency band 460-470 MHz, in accordance with Resolution </w:t>
      </w:r>
      <w:r w:rsidR="00E51E67" w:rsidRPr="002740EA">
        <w:rPr>
          <w:rStyle w:val="ECCHLbold"/>
          <w:i/>
        </w:rPr>
        <w:t>766 (WRC-15)</w:t>
      </w:r>
      <w:r w:rsidR="00586C27">
        <w:rPr>
          <w:rStyle w:val="ECCParagraph"/>
          <w:rFonts w:ascii="Times New Roman" w:hAnsi="Times New Roman"/>
          <w:i/>
          <w:sz w:val="24"/>
        </w:rPr>
        <w:t>.</w:t>
      </w:r>
    </w:p>
    <w:p w14:paraId="0C798CA3" w14:textId="77777777" w:rsidR="00E51E67" w:rsidRDefault="00E51E67" w:rsidP="00C357AD">
      <w:pPr>
        <w:jc w:val="both"/>
        <w:rPr>
          <w:b/>
        </w:rPr>
      </w:pPr>
    </w:p>
    <w:p w14:paraId="73ED2F1F" w14:textId="0671E413" w:rsidR="000A5418" w:rsidRDefault="002740EA" w:rsidP="002740EA">
      <w:pPr>
        <w:pStyle w:val="ListParagraph"/>
        <w:numPr>
          <w:ilvl w:val="0"/>
          <w:numId w:val="26"/>
        </w:numPr>
        <w:jc w:val="both"/>
        <w:rPr>
          <w:b/>
          <w:lang w:eastAsia="ko-KR"/>
        </w:rPr>
      </w:pPr>
      <w:r>
        <w:rPr>
          <w:b/>
          <w:lang w:eastAsia="ko-KR"/>
        </w:rPr>
        <w:t>Background</w:t>
      </w:r>
    </w:p>
    <w:p w14:paraId="4AB64137" w14:textId="77777777" w:rsidR="002740EA" w:rsidRPr="002740EA" w:rsidRDefault="002740EA" w:rsidP="002740EA">
      <w:pPr>
        <w:jc w:val="both"/>
        <w:rPr>
          <w:b/>
          <w:lang w:eastAsia="ko-KR"/>
        </w:rPr>
      </w:pPr>
    </w:p>
    <w:p w14:paraId="522EDF3A" w14:textId="2997E419" w:rsidR="0059288A" w:rsidRDefault="00AA731D" w:rsidP="00393E67">
      <w:pPr>
        <w:spacing w:after="120"/>
        <w:jc w:val="both"/>
        <w:rPr>
          <w:color w:val="000000" w:themeColor="text1"/>
          <w:lang w:val="en-GB"/>
        </w:rPr>
      </w:pPr>
      <w:r w:rsidRPr="00EB5B68">
        <w:rPr>
          <w:color w:val="000000" w:themeColor="text1"/>
          <w:lang w:val="en-GB"/>
        </w:rPr>
        <w:t>Data Collection Systems (DCS) operat</w:t>
      </w:r>
      <w:r w:rsidR="0008168C">
        <w:rPr>
          <w:color w:val="000000" w:themeColor="text1"/>
          <w:lang w:val="en-GB"/>
        </w:rPr>
        <w:t>ing</w:t>
      </w:r>
      <w:r w:rsidRPr="00EB5B68">
        <w:rPr>
          <w:color w:val="000000" w:themeColor="text1"/>
          <w:lang w:val="en-GB"/>
        </w:rPr>
        <w:t xml:space="preserve"> on geostationary and non-geostationary orbits </w:t>
      </w:r>
      <w:r w:rsidR="0008168C">
        <w:rPr>
          <w:color w:val="000000" w:themeColor="text1"/>
          <w:lang w:val="en-GB"/>
        </w:rPr>
        <w:t xml:space="preserve">are </w:t>
      </w:r>
      <w:r w:rsidR="0008168C" w:rsidRPr="00076B5C">
        <w:rPr>
          <w:rFonts w:eastAsia="Times New Roman"/>
          <w:szCs w:val="20"/>
          <w:lang w:val="en-GB"/>
        </w:rPr>
        <w:t>currently allocated to</w:t>
      </w:r>
      <w:r w:rsidRPr="00EB5B68">
        <w:rPr>
          <w:color w:val="000000" w:themeColor="text1"/>
          <w:lang w:val="en-GB"/>
        </w:rPr>
        <w:t xml:space="preserve"> the meteorological</w:t>
      </w:r>
      <w:r w:rsidRPr="00EB5B68">
        <w:rPr>
          <w:color w:val="000000" w:themeColor="text1"/>
          <w:lang w:val="en-GB"/>
        </w:rPr>
        <w:noBreakHyphen/>
        <w:t>satellite service (</w:t>
      </w:r>
      <w:proofErr w:type="spellStart"/>
      <w:r w:rsidRPr="00EB5B68">
        <w:rPr>
          <w:color w:val="000000" w:themeColor="text1"/>
          <w:lang w:val="en-GB"/>
        </w:rPr>
        <w:t>MetSat</w:t>
      </w:r>
      <w:proofErr w:type="spellEnd"/>
      <w:r w:rsidRPr="00EB5B68">
        <w:rPr>
          <w:color w:val="000000" w:themeColor="text1"/>
          <w:lang w:val="en-GB"/>
        </w:rPr>
        <w:t>) and the Earth exploration-satellite service (EESS) (Earth</w:t>
      </w:r>
      <w:r w:rsidRPr="00EB5B68">
        <w:rPr>
          <w:color w:val="000000" w:themeColor="text1"/>
          <w:lang w:val="en-GB"/>
        </w:rPr>
        <w:noBreakHyphen/>
        <w:t xml:space="preserve">to-space) systems in the frequency band 401-403 MHz (uplink) and </w:t>
      </w:r>
      <w:r w:rsidRPr="00A25036">
        <w:rPr>
          <w:color w:val="000000" w:themeColor="text1"/>
          <w:lang w:val="en-GB"/>
        </w:rPr>
        <w:t>460-470</w:t>
      </w:r>
      <w:r w:rsidRPr="00EB5B68">
        <w:rPr>
          <w:color w:val="000000" w:themeColor="text1"/>
          <w:lang w:val="en-GB"/>
        </w:rPr>
        <w:t xml:space="preserve"> MHz (downlink). </w:t>
      </w:r>
      <w:r w:rsidRPr="00351867">
        <w:rPr>
          <w:color w:val="000000" w:themeColor="text1"/>
          <w:lang w:val="en-GB"/>
        </w:rPr>
        <w:t>DCS are essential for monitoring and predicting climate change, monitoring ocean, and</w:t>
      </w:r>
      <w:r w:rsidRPr="00EB5B68">
        <w:rPr>
          <w:color w:val="000000" w:themeColor="text1"/>
          <w:lang w:val="en-GB"/>
        </w:rPr>
        <w:t xml:space="preserve"> water resources, weather forecasting and assisting in protecting biodiversity, as well as improving maritime security.</w:t>
      </w:r>
      <w:r w:rsidR="00393E67">
        <w:rPr>
          <w:color w:val="000000" w:themeColor="text1"/>
          <w:lang w:val="en-GB"/>
        </w:rPr>
        <w:t xml:space="preserve"> </w:t>
      </w:r>
      <w:r w:rsidR="008252C6">
        <w:rPr>
          <w:color w:val="000000" w:themeColor="text1"/>
          <w:lang w:val="en-GB"/>
        </w:rPr>
        <w:t>DCS</w:t>
      </w:r>
      <w:r w:rsidRPr="00EB5B68">
        <w:rPr>
          <w:color w:val="000000" w:themeColor="text1"/>
          <w:lang w:val="en-GB"/>
        </w:rPr>
        <w:t xml:space="preserve"> have been operating globally under a secondary allocation and on a primary basis in some countries under RR No. </w:t>
      </w:r>
      <w:r w:rsidRPr="00EB5B68">
        <w:rPr>
          <w:b/>
          <w:bCs/>
          <w:color w:val="000000" w:themeColor="text1"/>
          <w:lang w:val="en-GB"/>
        </w:rPr>
        <w:t>5.290</w:t>
      </w:r>
      <w:r w:rsidRPr="00EB5B68">
        <w:rPr>
          <w:color w:val="000000" w:themeColor="text1"/>
          <w:lang w:val="en-GB"/>
        </w:rPr>
        <w:t xml:space="preserve">, but this use is constrained by coordination under </w:t>
      </w:r>
      <w:r w:rsidR="00446B3F">
        <w:rPr>
          <w:color w:val="000000" w:themeColor="text1"/>
          <w:lang w:val="en-GB"/>
        </w:rPr>
        <w:t xml:space="preserve">No. </w:t>
      </w:r>
      <w:r w:rsidRPr="00EB5B68">
        <w:rPr>
          <w:b/>
          <w:bCs/>
          <w:color w:val="000000" w:themeColor="text1"/>
          <w:lang w:val="en-GB"/>
        </w:rPr>
        <w:t>9.21</w:t>
      </w:r>
      <w:r w:rsidRPr="00EB5B68">
        <w:rPr>
          <w:color w:val="000000" w:themeColor="text1"/>
          <w:lang w:val="en-GB"/>
        </w:rPr>
        <w:t xml:space="preserve">. This has led to differing limitations and protection criteria and has posed a barrier to implementation of essential DCS components on a global basis. </w:t>
      </w:r>
    </w:p>
    <w:p w14:paraId="65B15E73" w14:textId="667D2842" w:rsidR="0059288A" w:rsidRPr="00EB5B68" w:rsidRDefault="00A32308" w:rsidP="00393E67">
      <w:pPr>
        <w:spacing w:after="120"/>
        <w:jc w:val="both"/>
        <w:rPr>
          <w:color w:val="000000" w:themeColor="text1"/>
        </w:rPr>
      </w:pPr>
      <w:r w:rsidRPr="00A32308">
        <w:rPr>
          <w:rFonts w:hint="eastAsia"/>
          <w:lang w:eastAsia="ko-KR"/>
        </w:rPr>
        <w:t>Resolution</w:t>
      </w:r>
      <w:r w:rsidRPr="00A32308">
        <w:rPr>
          <w:rFonts w:hint="eastAsia"/>
          <w:b/>
          <w:lang w:eastAsia="ko-KR"/>
        </w:rPr>
        <w:t xml:space="preserve"> </w:t>
      </w:r>
      <w:r w:rsidRPr="00A32308">
        <w:rPr>
          <w:b/>
          <w:lang w:eastAsia="ko-KR"/>
        </w:rPr>
        <w:t>766</w:t>
      </w:r>
      <w:r w:rsidRPr="00A32308">
        <w:rPr>
          <w:rFonts w:hint="eastAsia"/>
          <w:b/>
          <w:lang w:eastAsia="ko-KR"/>
        </w:rPr>
        <w:t xml:space="preserve"> (WRC-15)</w:t>
      </w:r>
      <w:r w:rsidRPr="00A32308">
        <w:rPr>
          <w:rFonts w:hint="eastAsia"/>
          <w:lang w:eastAsia="ko-KR"/>
        </w:rPr>
        <w:t xml:space="preserve"> </w:t>
      </w:r>
      <w:r>
        <w:rPr>
          <w:lang w:eastAsia="ko-KR"/>
        </w:rPr>
        <w:t>c</w:t>
      </w:r>
      <w:r w:rsidRPr="00A32308">
        <w:t>onsider</w:t>
      </w:r>
      <w:r>
        <w:t>s</w:t>
      </w:r>
      <w:r w:rsidRPr="00A32308">
        <w:t xml:space="preserve"> </w:t>
      </w:r>
      <w:r>
        <w:t>the</w:t>
      </w:r>
      <w:r w:rsidRPr="00A32308">
        <w:t xml:space="preserve"> possible upgrading of the secondary allocation to the </w:t>
      </w:r>
      <w:proofErr w:type="spellStart"/>
      <w:r w:rsidR="00393E67">
        <w:t>MetSat</w:t>
      </w:r>
      <w:proofErr w:type="spellEnd"/>
      <w:r w:rsidRPr="00A32308">
        <w:t xml:space="preserve"> (space-to-Earth) to primary status and a primary allocation to the </w:t>
      </w:r>
      <w:r w:rsidR="00393E67">
        <w:t>EESS</w:t>
      </w:r>
      <w:r w:rsidRPr="00A32308">
        <w:t xml:space="preserve"> (space-to-Earth) in the frequency band 460</w:t>
      </w:r>
      <w:r w:rsidRPr="00A32308">
        <w:noBreakHyphen/>
        <w:t>470 </w:t>
      </w:r>
      <w:proofErr w:type="spellStart"/>
      <w:r w:rsidRPr="00A32308">
        <w:t>MHz.</w:t>
      </w:r>
      <w:proofErr w:type="spellEnd"/>
      <w:r w:rsidR="00393E67">
        <w:t xml:space="preserve"> </w:t>
      </w:r>
      <w:r w:rsidR="00AA731D" w:rsidRPr="00EB5B68">
        <w:rPr>
          <w:color w:val="000000" w:themeColor="text1"/>
          <w:lang w:val="en-GB"/>
        </w:rPr>
        <w:t xml:space="preserve">The frequency band </w:t>
      </w:r>
      <w:r w:rsidR="00AA731D" w:rsidRPr="00A25036">
        <w:rPr>
          <w:color w:val="000000" w:themeColor="text1"/>
          <w:lang w:val="en-GB"/>
        </w:rPr>
        <w:t>460–470</w:t>
      </w:r>
      <w:r w:rsidR="00AA731D" w:rsidRPr="00EB5B68">
        <w:rPr>
          <w:color w:val="000000" w:themeColor="text1"/>
          <w:lang w:val="en-GB"/>
        </w:rPr>
        <w:t xml:space="preserve"> MHz is currently allocated to the </w:t>
      </w:r>
      <w:proofErr w:type="spellStart"/>
      <w:r w:rsidR="00AA731D" w:rsidRPr="00EB5B68">
        <w:rPr>
          <w:color w:val="000000" w:themeColor="text1"/>
          <w:lang w:val="en-GB"/>
        </w:rPr>
        <w:t>MetSat</w:t>
      </w:r>
      <w:proofErr w:type="spellEnd"/>
      <w:r w:rsidR="00AA731D" w:rsidRPr="00EB5B68">
        <w:rPr>
          <w:color w:val="000000" w:themeColor="text1"/>
          <w:lang w:val="en-GB"/>
        </w:rPr>
        <w:t xml:space="preserve"> service (space-to-Earth) on a secondary basis. However, it is to be noted that the </w:t>
      </w:r>
      <w:proofErr w:type="spellStart"/>
      <w:r w:rsidR="00AA731D" w:rsidRPr="00EB5B68">
        <w:rPr>
          <w:color w:val="000000" w:themeColor="text1"/>
          <w:lang w:val="en-GB"/>
        </w:rPr>
        <w:t>MetSat</w:t>
      </w:r>
      <w:proofErr w:type="spellEnd"/>
      <w:r w:rsidR="00AA731D" w:rsidRPr="00EB5B68">
        <w:rPr>
          <w:color w:val="000000" w:themeColor="text1"/>
          <w:lang w:val="en-GB"/>
        </w:rPr>
        <w:t xml:space="preserve"> service is primary in a few countries according to RR No. </w:t>
      </w:r>
      <w:r w:rsidR="00AA731D" w:rsidRPr="00EB5B68">
        <w:rPr>
          <w:b/>
          <w:bCs/>
          <w:color w:val="000000" w:themeColor="text1"/>
          <w:lang w:val="en-GB"/>
        </w:rPr>
        <w:t>5.290</w:t>
      </w:r>
      <w:r w:rsidR="00AA731D" w:rsidRPr="00EB5B68">
        <w:rPr>
          <w:color w:val="000000" w:themeColor="text1"/>
          <w:lang w:val="en-GB"/>
        </w:rPr>
        <w:t xml:space="preserve">. </w:t>
      </w:r>
      <w:r w:rsidR="008252C6">
        <w:rPr>
          <w:color w:val="000000" w:themeColor="text1"/>
          <w:lang w:val="en-GB"/>
        </w:rPr>
        <w:t>In addition, a</w:t>
      </w:r>
      <w:r w:rsidR="00AA731D" w:rsidRPr="00EB5B68">
        <w:rPr>
          <w:color w:val="000000" w:themeColor="text1"/>
          <w:lang w:val="en-GB"/>
        </w:rPr>
        <w:t xml:space="preserve">ccording to RR No. </w:t>
      </w:r>
      <w:r w:rsidR="00AA731D" w:rsidRPr="00EB5B68">
        <w:rPr>
          <w:b/>
          <w:bCs/>
          <w:color w:val="000000" w:themeColor="text1"/>
          <w:lang w:val="en-GB"/>
        </w:rPr>
        <w:t>5.289</w:t>
      </w:r>
      <w:r w:rsidR="00AA731D" w:rsidRPr="00EB5B68">
        <w:rPr>
          <w:color w:val="000000" w:themeColor="text1"/>
          <w:lang w:val="en-GB"/>
        </w:rPr>
        <w:t xml:space="preserve">, </w:t>
      </w:r>
      <w:r w:rsidR="008252C6">
        <w:rPr>
          <w:color w:val="000000" w:themeColor="text1"/>
          <w:lang w:val="en-GB"/>
        </w:rPr>
        <w:t>EESS</w:t>
      </w:r>
      <w:r w:rsidR="00AA731D" w:rsidRPr="00EB5B68">
        <w:rPr>
          <w:color w:val="000000" w:themeColor="text1"/>
          <w:lang w:val="en-GB"/>
        </w:rPr>
        <w:t xml:space="preserve"> applications, other than the </w:t>
      </w:r>
      <w:proofErr w:type="spellStart"/>
      <w:r w:rsidR="008252C6">
        <w:rPr>
          <w:color w:val="000000" w:themeColor="text1"/>
          <w:lang w:val="en-GB"/>
        </w:rPr>
        <w:t>MetSat</w:t>
      </w:r>
      <w:proofErr w:type="spellEnd"/>
      <w:r w:rsidR="00AA731D" w:rsidRPr="00EB5B68">
        <w:rPr>
          <w:color w:val="000000" w:themeColor="text1"/>
          <w:lang w:val="en-GB"/>
        </w:rPr>
        <w:t xml:space="preserve"> service, may also be used</w:t>
      </w:r>
      <w:r w:rsidR="00EB5B68" w:rsidRPr="00EB5B68">
        <w:rPr>
          <w:color w:val="000000" w:themeColor="text1"/>
          <w:lang w:val="en-GB"/>
        </w:rPr>
        <w:t xml:space="preserve"> in the bands </w:t>
      </w:r>
      <w:r w:rsidR="00EB5B68" w:rsidRPr="00A25036">
        <w:rPr>
          <w:color w:val="000000" w:themeColor="text1"/>
          <w:lang w:val="en-GB"/>
        </w:rPr>
        <w:t>460</w:t>
      </w:r>
      <w:r w:rsidR="00EB5B68" w:rsidRPr="00A25036">
        <w:rPr>
          <w:color w:val="000000" w:themeColor="text1"/>
          <w:lang w:val="en-GB"/>
        </w:rPr>
        <w:noBreakHyphen/>
        <w:t>470</w:t>
      </w:r>
      <w:r w:rsidR="00EB5B68" w:rsidRPr="00EB5B68">
        <w:rPr>
          <w:color w:val="000000" w:themeColor="text1"/>
          <w:lang w:val="en-GB"/>
        </w:rPr>
        <w:t> MHz and 1</w:t>
      </w:r>
      <w:r w:rsidR="00AA731D" w:rsidRPr="00EB5B68">
        <w:rPr>
          <w:color w:val="000000" w:themeColor="text1"/>
          <w:lang w:val="en-GB"/>
        </w:rPr>
        <w:t xml:space="preserve">690-1710 MHz for </w:t>
      </w:r>
      <w:r w:rsidR="00AA731D" w:rsidRPr="008252C6">
        <w:rPr>
          <w:i/>
          <w:color w:val="000000" w:themeColor="text1"/>
          <w:lang w:val="en-GB"/>
        </w:rPr>
        <w:t>space-to-</w:t>
      </w:r>
      <w:r w:rsidR="008252C6" w:rsidRPr="008252C6">
        <w:rPr>
          <w:i/>
          <w:color w:val="000000" w:themeColor="text1"/>
          <w:lang w:val="en-GB"/>
        </w:rPr>
        <w:t>e</w:t>
      </w:r>
      <w:r w:rsidR="00AA731D" w:rsidRPr="008252C6">
        <w:rPr>
          <w:i/>
          <w:color w:val="000000" w:themeColor="text1"/>
          <w:lang w:val="en-GB"/>
        </w:rPr>
        <w:t>arth</w:t>
      </w:r>
      <w:r w:rsidR="00AA731D" w:rsidRPr="00EB5B68">
        <w:rPr>
          <w:color w:val="000000" w:themeColor="text1"/>
          <w:lang w:val="en-GB"/>
        </w:rPr>
        <w:t xml:space="preserve"> transmissions subject to not causing harmful interference to stations operating in accordance with the Table of </w:t>
      </w:r>
      <w:r w:rsidR="00446B3F">
        <w:rPr>
          <w:color w:val="000000" w:themeColor="text1"/>
          <w:lang w:val="en-GB"/>
        </w:rPr>
        <w:t xml:space="preserve">Frequency </w:t>
      </w:r>
      <w:r w:rsidR="00AA731D" w:rsidRPr="00EB5B68">
        <w:rPr>
          <w:color w:val="000000" w:themeColor="text1"/>
          <w:lang w:val="en-GB"/>
        </w:rPr>
        <w:t xml:space="preserve">Allocations. </w:t>
      </w:r>
    </w:p>
    <w:p w14:paraId="0BF619CD" w14:textId="24413B7D" w:rsidR="0059288A" w:rsidRPr="00EB5B68" w:rsidRDefault="00AA731D" w:rsidP="00393E67">
      <w:pPr>
        <w:spacing w:before="120" w:after="120"/>
        <w:jc w:val="both"/>
        <w:rPr>
          <w:color w:val="000000" w:themeColor="text1"/>
        </w:rPr>
      </w:pPr>
      <w:r w:rsidRPr="00EB5B68">
        <w:rPr>
          <w:color w:val="000000" w:themeColor="text1"/>
          <w:lang w:val="en-GB"/>
        </w:rPr>
        <w:t xml:space="preserve">An upgrade of the existing </w:t>
      </w:r>
      <w:proofErr w:type="spellStart"/>
      <w:r w:rsidRPr="00EB5B68">
        <w:rPr>
          <w:color w:val="000000" w:themeColor="text1"/>
          <w:lang w:val="en-GB"/>
        </w:rPr>
        <w:t>MetSat</w:t>
      </w:r>
      <w:proofErr w:type="spellEnd"/>
      <w:r w:rsidRPr="00EB5B68">
        <w:rPr>
          <w:color w:val="000000" w:themeColor="text1"/>
          <w:lang w:val="en-GB"/>
        </w:rPr>
        <w:t xml:space="preserve"> allocation and a new primary EESS allocation would allow operators of </w:t>
      </w:r>
      <w:r w:rsidR="008252C6">
        <w:rPr>
          <w:color w:val="000000" w:themeColor="text1"/>
          <w:lang w:val="en-GB"/>
        </w:rPr>
        <w:t>DCS</w:t>
      </w:r>
      <w:r w:rsidRPr="00EB5B68">
        <w:rPr>
          <w:color w:val="000000" w:themeColor="text1"/>
          <w:lang w:val="en-GB"/>
        </w:rPr>
        <w:t xml:space="preserve"> to design and operate their systems with more confidence. </w:t>
      </w:r>
      <w:r w:rsidR="00544A70">
        <w:rPr>
          <w:color w:val="000000" w:themeColor="text1"/>
          <w:lang w:val="en-GB"/>
        </w:rPr>
        <w:t>However, r</w:t>
      </w:r>
      <w:r w:rsidRPr="00EB5B68">
        <w:rPr>
          <w:color w:val="000000" w:themeColor="text1"/>
          <w:lang w:val="en-GB"/>
        </w:rPr>
        <w:t xml:space="preserve">egulatory measures need to be developed </w:t>
      </w:r>
      <w:r w:rsidR="00544A70">
        <w:rPr>
          <w:color w:val="000000" w:themeColor="text1"/>
          <w:lang w:val="en-GB"/>
        </w:rPr>
        <w:t xml:space="preserve">further </w:t>
      </w:r>
      <w:r w:rsidRPr="00EB5B68">
        <w:rPr>
          <w:color w:val="000000" w:themeColor="text1"/>
          <w:lang w:val="en-GB"/>
        </w:rPr>
        <w:t xml:space="preserve">to protect </w:t>
      </w:r>
      <w:r w:rsidR="00446B3F">
        <w:rPr>
          <w:color w:val="000000" w:themeColor="text1"/>
          <w:lang w:val="en-GB"/>
        </w:rPr>
        <w:t xml:space="preserve">and also not imposing additional constrains to </w:t>
      </w:r>
      <w:r w:rsidRPr="00EB5B68">
        <w:rPr>
          <w:color w:val="000000" w:themeColor="text1"/>
          <w:lang w:val="en-GB"/>
        </w:rPr>
        <w:t xml:space="preserve">the </w:t>
      </w:r>
      <w:r w:rsidR="00544A70">
        <w:rPr>
          <w:color w:val="000000" w:themeColor="text1"/>
          <w:lang w:val="en-GB"/>
        </w:rPr>
        <w:t xml:space="preserve">existing </w:t>
      </w:r>
      <w:r w:rsidRPr="00EB5B68">
        <w:rPr>
          <w:color w:val="000000" w:themeColor="text1"/>
          <w:lang w:val="en-GB"/>
        </w:rPr>
        <w:t>mobile and fixed service</w:t>
      </w:r>
      <w:r w:rsidR="00544A70">
        <w:rPr>
          <w:color w:val="000000" w:themeColor="text1"/>
          <w:lang w:val="en-GB"/>
        </w:rPr>
        <w:t xml:space="preserve">, as well as </w:t>
      </w:r>
      <w:r w:rsidR="00544A70" w:rsidRPr="00544A70">
        <w:rPr>
          <w:rFonts w:eastAsia="Times New Roman"/>
          <w:szCs w:val="20"/>
          <w:lang w:val="en-GB"/>
        </w:rPr>
        <w:t>the adjacent frequency bands</w:t>
      </w:r>
      <w:r w:rsidRPr="00EB5B68">
        <w:rPr>
          <w:color w:val="000000" w:themeColor="text1"/>
          <w:lang w:val="en-GB"/>
        </w:rPr>
        <w:t>.</w:t>
      </w:r>
      <w:r w:rsidR="00446B3F">
        <w:rPr>
          <w:color w:val="000000" w:themeColor="text1"/>
          <w:lang w:val="en-GB"/>
        </w:rPr>
        <w:t xml:space="preserve"> </w:t>
      </w:r>
    </w:p>
    <w:p w14:paraId="587E0E14" w14:textId="47D0FEA7" w:rsidR="007F7343" w:rsidRPr="009D3645" w:rsidRDefault="007F7343" w:rsidP="00393E67">
      <w:pPr>
        <w:spacing w:before="240" w:after="120"/>
        <w:rPr>
          <w:b/>
          <w:lang w:val="en-AU"/>
        </w:rPr>
      </w:pPr>
      <w:r w:rsidRPr="009D3645">
        <w:rPr>
          <w:b/>
          <w:lang w:val="en-AU"/>
        </w:rPr>
        <w:t>Recent ITU-R developments</w:t>
      </w:r>
    </w:p>
    <w:p w14:paraId="627DE6E6" w14:textId="016CBA81" w:rsidR="00F56BE5" w:rsidRPr="006E4904" w:rsidRDefault="00F56BE5" w:rsidP="00393E67">
      <w:pPr>
        <w:spacing w:after="120"/>
        <w:jc w:val="both"/>
        <w:rPr>
          <w:lang w:val="en-AU"/>
        </w:rPr>
      </w:pPr>
      <w:r w:rsidRPr="006E4904">
        <w:rPr>
          <w:lang w:val="en-AU"/>
        </w:rPr>
        <w:t xml:space="preserve">A </w:t>
      </w:r>
      <w:r w:rsidR="006E4904">
        <w:rPr>
          <w:lang w:val="en-AU"/>
        </w:rPr>
        <w:t>P</w:t>
      </w:r>
      <w:r w:rsidRPr="006E4904">
        <w:rPr>
          <w:lang w:val="en-AU"/>
        </w:rPr>
        <w:t xml:space="preserve">reliminary </w:t>
      </w:r>
      <w:r w:rsidR="006E4904">
        <w:rPr>
          <w:lang w:val="en-AU"/>
        </w:rPr>
        <w:t>Draft N</w:t>
      </w:r>
      <w:r w:rsidRPr="006E4904">
        <w:rPr>
          <w:lang w:val="en-AU"/>
        </w:rPr>
        <w:t>ew</w:t>
      </w:r>
      <w:r w:rsidR="006E4904">
        <w:rPr>
          <w:lang w:val="en-AU"/>
        </w:rPr>
        <w:t xml:space="preserve"> (PDN)</w:t>
      </w:r>
      <w:r w:rsidRPr="006E4904">
        <w:rPr>
          <w:lang w:val="en-AU"/>
        </w:rPr>
        <w:t xml:space="preserve"> Report ITU-R SA.[460 MHz METSAT-EESS] </w:t>
      </w:r>
      <w:r w:rsidR="006E4904" w:rsidRPr="006E4904">
        <w:rPr>
          <w:lang w:val="en-GB"/>
        </w:rPr>
        <w:t xml:space="preserve">(Document 7B/170 </w:t>
      </w:r>
      <w:hyperlink r:id="rId10" w:history="1">
        <w:r w:rsidR="006E4904" w:rsidRPr="006E4904">
          <w:rPr>
            <w:rStyle w:val="Hyperlink"/>
            <w:lang w:bidi="en-US"/>
          </w:rPr>
          <w:t xml:space="preserve">Annex </w:t>
        </w:r>
        <w:r w:rsidR="006E4904" w:rsidRPr="006E4904">
          <w:rPr>
            <w:rStyle w:val="Hyperlink"/>
            <w:lang w:val="en-GB"/>
          </w:rPr>
          <w:t>19</w:t>
        </w:r>
      </w:hyperlink>
      <w:r w:rsidR="006E4904" w:rsidRPr="006E4904">
        <w:rPr>
          <w:lang w:val="en-GB"/>
        </w:rPr>
        <w:t xml:space="preserve"> of the </w:t>
      </w:r>
      <w:r w:rsidR="006E4904" w:rsidRPr="006E4904">
        <w:t>Chairman's Report</w:t>
      </w:r>
      <w:r w:rsidR="006E4904" w:rsidRPr="006E4904">
        <w:rPr>
          <w:lang w:val="en-GB"/>
        </w:rPr>
        <w:t xml:space="preserve">) </w:t>
      </w:r>
      <w:r w:rsidRPr="006E4904">
        <w:rPr>
          <w:lang w:val="en-AU"/>
        </w:rPr>
        <w:t xml:space="preserve">was developed </w:t>
      </w:r>
      <w:r w:rsidRPr="006E4904">
        <w:rPr>
          <w:rFonts w:hint="eastAsia"/>
          <w:lang w:val="en-AU"/>
        </w:rPr>
        <w:t xml:space="preserve">at </w:t>
      </w:r>
      <w:r w:rsidRPr="006E4904">
        <w:rPr>
          <w:lang w:val="en-AU"/>
        </w:rPr>
        <w:t>the</w:t>
      </w:r>
      <w:r w:rsidRPr="006E4904">
        <w:rPr>
          <w:rFonts w:hint="eastAsia"/>
          <w:lang w:val="en-AU"/>
        </w:rPr>
        <w:t xml:space="preserve"> </w:t>
      </w:r>
      <w:r w:rsidRPr="006E4904">
        <w:rPr>
          <w:lang w:val="en-AU"/>
        </w:rPr>
        <w:t>WP 7B meeting in April 2017 which compiled elements related to background on WRC-19 agenda item 1.3</w:t>
      </w:r>
      <w:r w:rsidR="006E4904">
        <w:rPr>
          <w:lang w:val="en-AU"/>
        </w:rPr>
        <w:t>,</w:t>
      </w:r>
      <w:r w:rsidRPr="006E4904">
        <w:rPr>
          <w:lang w:val="en-AU"/>
        </w:rPr>
        <w:t xml:space="preserve"> as well as initial technical considerations on EESS (space-to-Earth) and </w:t>
      </w:r>
      <w:proofErr w:type="spellStart"/>
      <w:r w:rsidRPr="006E4904">
        <w:rPr>
          <w:lang w:val="en-AU"/>
        </w:rPr>
        <w:t>MetSat</w:t>
      </w:r>
      <w:proofErr w:type="spellEnd"/>
      <w:r w:rsidRPr="006E4904">
        <w:rPr>
          <w:lang w:val="en-AU"/>
        </w:rPr>
        <w:t xml:space="preserve"> service (space-to-Earth) in the </w:t>
      </w:r>
      <w:r w:rsidRPr="006E4904">
        <w:rPr>
          <w:lang w:val="en-AU"/>
        </w:rPr>
        <w:lastRenderedPageBreak/>
        <w:t>band 460-470 MHz and other services allocated in this band and adjacent bands, namely the Broadcasting, Fixed, Mobile, Maritime Mobile, Mobile Satellite and Radio Astronomy services.</w:t>
      </w:r>
    </w:p>
    <w:p w14:paraId="130FFE58" w14:textId="4187C91A" w:rsidR="00F56BE5" w:rsidRDefault="00F56BE5" w:rsidP="00393E67">
      <w:pPr>
        <w:spacing w:after="120"/>
        <w:jc w:val="both"/>
        <w:rPr>
          <w:lang w:val="en-AU"/>
        </w:rPr>
      </w:pPr>
      <w:r w:rsidRPr="006E4904">
        <w:rPr>
          <w:lang w:val="en-AU"/>
        </w:rPr>
        <w:t xml:space="preserve">This PDN Report provides results of studies evaluating the potential for radio frequency interference (RFI) from spacecraft operating in the </w:t>
      </w:r>
      <w:proofErr w:type="spellStart"/>
      <w:r w:rsidRPr="006E4904">
        <w:rPr>
          <w:lang w:val="en-AU"/>
        </w:rPr>
        <w:t>MetSat</w:t>
      </w:r>
      <w:proofErr w:type="spellEnd"/>
      <w:r w:rsidRPr="006E4904">
        <w:rPr>
          <w:lang w:val="en-AU"/>
        </w:rPr>
        <w:t xml:space="preserve"> service and EESS using the 460-470 MHz frequency band to incumbent systems in primary allocated services (see </w:t>
      </w:r>
      <w:hyperlink r:id="rId11" w:history="1">
        <w:r w:rsidRPr="006E4904">
          <w:rPr>
            <w:lang w:val="en-AU"/>
          </w:rPr>
          <w:t>Annex 19 to Doc. 7B/170</w:t>
        </w:r>
      </w:hyperlink>
      <w:r w:rsidRPr="006E4904">
        <w:rPr>
          <w:lang w:val="en-AU"/>
        </w:rPr>
        <w:t xml:space="preserve">). </w:t>
      </w:r>
      <w:r w:rsidR="006E4904" w:rsidRPr="006E4904">
        <w:t xml:space="preserve">In this PDN Report, for the protection of terrestrial services, </w:t>
      </w:r>
      <w:proofErr w:type="spellStart"/>
      <w:r w:rsidR="006E4904" w:rsidRPr="006E4904">
        <w:t>pfd</w:t>
      </w:r>
      <w:proofErr w:type="spellEnd"/>
      <w:r w:rsidR="006E4904" w:rsidRPr="006E4904">
        <w:t xml:space="preserve"> limit of -1</w:t>
      </w:r>
      <w:r w:rsidR="006E4904" w:rsidRPr="006E4904">
        <w:rPr>
          <w:rFonts w:hint="eastAsia"/>
        </w:rPr>
        <w:t>52dBW/m2/4kHz</w:t>
      </w:r>
      <w:r w:rsidR="006E4904" w:rsidRPr="006E4904">
        <w:t xml:space="preserve"> is currently considered. </w:t>
      </w:r>
      <w:r w:rsidRPr="006E4904">
        <w:rPr>
          <w:lang w:val="en-AU"/>
        </w:rPr>
        <w:t>This PDN report will be finalized at the WP 7B meeting in</w:t>
      </w:r>
      <w:r w:rsidRPr="006E4904">
        <w:rPr>
          <w:rFonts w:hint="eastAsia"/>
          <w:lang w:val="en-AU"/>
        </w:rPr>
        <w:t xml:space="preserve"> </w:t>
      </w:r>
      <w:r w:rsidRPr="006E4904">
        <w:rPr>
          <w:lang w:val="en-AU"/>
        </w:rPr>
        <w:t>October 2017</w:t>
      </w:r>
      <w:r w:rsidRPr="006E4904">
        <w:rPr>
          <w:rFonts w:hint="eastAsia"/>
          <w:lang w:val="en-AU"/>
        </w:rPr>
        <w:t>.</w:t>
      </w:r>
      <w:r w:rsidRPr="00F56BE5">
        <w:rPr>
          <w:rFonts w:hint="eastAsia"/>
          <w:lang w:val="en-AU"/>
        </w:rPr>
        <w:t xml:space="preserve"> </w:t>
      </w:r>
    </w:p>
    <w:p w14:paraId="5E187F5D" w14:textId="77777777" w:rsidR="000371C3" w:rsidRPr="00EB5B68" w:rsidRDefault="000371C3" w:rsidP="006E4904">
      <w:pPr>
        <w:pStyle w:val="Heading1"/>
        <w:spacing w:before="240" w:after="120"/>
        <w:jc w:val="left"/>
        <w:rPr>
          <w:u w:val="none"/>
        </w:rPr>
      </w:pPr>
      <w:r w:rsidRPr="00EB5B68">
        <w:rPr>
          <w:u w:val="none"/>
        </w:rPr>
        <w:t xml:space="preserve">Relevant ITU-R Recommendations and Reports </w:t>
      </w:r>
    </w:p>
    <w:p w14:paraId="3DFDF2BE" w14:textId="2D2C1651" w:rsidR="000371C3" w:rsidRPr="00B82FE4" w:rsidRDefault="000371C3" w:rsidP="000371C3">
      <w:pPr>
        <w:numPr>
          <w:ilvl w:val="0"/>
          <w:numId w:val="31"/>
        </w:numPr>
        <w:tabs>
          <w:tab w:val="clear" w:pos="360"/>
          <w:tab w:val="num" w:pos="720"/>
        </w:tabs>
        <w:spacing w:afterLines="60" w:after="144"/>
        <w:jc w:val="both"/>
        <w:rPr>
          <w:lang w:eastAsia="ko-KR"/>
        </w:rPr>
      </w:pPr>
      <w:r w:rsidRPr="00D9739F">
        <w:rPr>
          <w:lang w:val="en-GB" w:eastAsia="ko-KR"/>
        </w:rPr>
        <w:t>Annex 14 to Working Party 7B Chairman’s Report, April 2016: Working Document toward a Preliminary Draft New Report ITU-R SA</w:t>
      </w:r>
      <w:proofErr w:type="gramStart"/>
      <w:r w:rsidRPr="00D9739F">
        <w:rPr>
          <w:lang w:val="en-GB" w:eastAsia="ko-KR"/>
        </w:rPr>
        <w:t>.[</w:t>
      </w:r>
      <w:proofErr w:type="gramEnd"/>
      <w:r w:rsidRPr="00D9739F">
        <w:rPr>
          <w:lang w:val="en-GB" w:eastAsia="ko-KR"/>
        </w:rPr>
        <w:t xml:space="preserve">460 MHZ METSAT-EESS]: Studies related to proposed change in 460-470 MHz secondary allocation for </w:t>
      </w:r>
      <w:proofErr w:type="spellStart"/>
      <w:r w:rsidRPr="00D9739F">
        <w:rPr>
          <w:lang w:val="en-GB" w:eastAsia="ko-KR"/>
        </w:rPr>
        <w:t>MetSat</w:t>
      </w:r>
      <w:proofErr w:type="spellEnd"/>
      <w:r w:rsidRPr="00D9739F">
        <w:rPr>
          <w:lang w:val="en-GB" w:eastAsia="ko-KR"/>
        </w:rPr>
        <w:t xml:space="preserve"> to primary and addition of primary allocation to EESS</w:t>
      </w:r>
      <w:r w:rsidR="00D47D2E">
        <w:rPr>
          <w:lang w:val="en-GB" w:eastAsia="ko-KR"/>
        </w:rPr>
        <w:t>.</w:t>
      </w:r>
    </w:p>
    <w:p w14:paraId="27287907" w14:textId="77777777" w:rsidR="00B82FE4" w:rsidRPr="001A698C" w:rsidRDefault="00B82FE4" w:rsidP="00B82FE4">
      <w:pPr>
        <w:numPr>
          <w:ilvl w:val="0"/>
          <w:numId w:val="31"/>
        </w:numPr>
        <w:spacing w:after="100" w:afterAutospacing="1"/>
        <w:rPr>
          <w:lang w:val="en-AU"/>
        </w:rPr>
      </w:pPr>
      <w:r w:rsidRPr="00D91A0D">
        <w:rPr>
          <w:lang w:val="en-GB"/>
        </w:rPr>
        <w:t xml:space="preserve">Draft CPM text (Document 7B/170 </w:t>
      </w:r>
      <w:hyperlink r:id="rId12" w:history="1">
        <w:r w:rsidRPr="00D62D5F">
          <w:rPr>
            <w:rStyle w:val="Hyperlink"/>
            <w:lang w:val="en-GB"/>
          </w:rPr>
          <w:t>Annex 1)</w:t>
        </w:r>
      </w:hyperlink>
      <w:r w:rsidRPr="00D91A0D">
        <w:rPr>
          <w:lang w:val="en-GB"/>
        </w:rPr>
        <w:t xml:space="preserve"> was further developed but no </w:t>
      </w:r>
      <w:r>
        <w:rPr>
          <w:lang w:val="en-GB"/>
        </w:rPr>
        <w:t>‘</w:t>
      </w:r>
      <w:r w:rsidRPr="00D91A0D">
        <w:rPr>
          <w:lang w:val="en-GB"/>
        </w:rPr>
        <w:t>Methods</w:t>
      </w:r>
      <w:r>
        <w:rPr>
          <w:lang w:val="en-GB"/>
        </w:rPr>
        <w:t>’</w:t>
      </w:r>
      <w:r w:rsidRPr="00D91A0D">
        <w:rPr>
          <w:lang w:val="en-GB"/>
        </w:rPr>
        <w:t xml:space="preserve"> to satisfy the </w:t>
      </w:r>
      <w:r>
        <w:rPr>
          <w:lang w:val="en-GB"/>
        </w:rPr>
        <w:t>a</w:t>
      </w:r>
      <w:r w:rsidRPr="00D91A0D">
        <w:rPr>
          <w:lang w:val="en-GB"/>
        </w:rPr>
        <w:t xml:space="preserve">genda item have been </w:t>
      </w:r>
      <w:r>
        <w:rPr>
          <w:lang w:val="en-GB"/>
        </w:rPr>
        <w:t>developed</w:t>
      </w:r>
      <w:r w:rsidRPr="00D91A0D">
        <w:rPr>
          <w:lang w:val="en-GB"/>
        </w:rPr>
        <w:t>.</w:t>
      </w:r>
    </w:p>
    <w:p w14:paraId="04B94404" w14:textId="77777777" w:rsidR="000A5418" w:rsidRDefault="000A5418" w:rsidP="00493D17">
      <w:pPr>
        <w:spacing w:after="120"/>
        <w:jc w:val="both"/>
        <w:rPr>
          <w:b/>
          <w:lang w:eastAsia="ko-KR"/>
        </w:rPr>
      </w:pPr>
      <w:r w:rsidRPr="000A5418">
        <w:rPr>
          <w:b/>
          <w:lang w:eastAsia="ko-KR"/>
        </w:rPr>
        <w:t xml:space="preserve">2. </w:t>
      </w:r>
      <w:r w:rsidR="007A507E">
        <w:rPr>
          <w:b/>
          <w:lang w:eastAsia="ko-KR"/>
        </w:rPr>
        <w:t>Documents</w:t>
      </w:r>
    </w:p>
    <w:p w14:paraId="52730799" w14:textId="77777777" w:rsidR="002A14B9" w:rsidRPr="000D1978" w:rsidRDefault="007A507E" w:rsidP="00493D17">
      <w:pPr>
        <w:spacing w:after="120"/>
        <w:jc w:val="both"/>
        <w:rPr>
          <w:b/>
          <w:i/>
          <w:lang w:eastAsia="ko-KR"/>
        </w:rPr>
      </w:pPr>
      <w:r w:rsidRPr="000D1978">
        <w:rPr>
          <w:b/>
          <w:i/>
          <w:lang w:eastAsia="ko-KR"/>
        </w:rPr>
        <w:t>2.1</w:t>
      </w:r>
      <w:r w:rsidR="002A14B9" w:rsidRPr="000D1978">
        <w:rPr>
          <w:b/>
          <w:i/>
          <w:lang w:eastAsia="ko-KR"/>
        </w:rPr>
        <w:t xml:space="preserve"> </w:t>
      </w:r>
      <w:r w:rsidR="006A02CF" w:rsidRPr="000D1978">
        <w:rPr>
          <w:b/>
          <w:i/>
          <w:lang w:eastAsia="ko-KR"/>
        </w:rPr>
        <w:t>Input Documents:</w:t>
      </w:r>
    </w:p>
    <w:p w14:paraId="5ABD086A" w14:textId="5999916B" w:rsidR="00BA57FD" w:rsidRDefault="0062779C" w:rsidP="006A3F8C">
      <w:pPr>
        <w:pStyle w:val="ListParagraph"/>
        <w:numPr>
          <w:ilvl w:val="0"/>
          <w:numId w:val="32"/>
        </w:numPr>
        <w:ind w:left="810" w:hanging="450"/>
        <w:rPr>
          <w:rFonts w:eastAsia="Times New Roman"/>
        </w:rPr>
      </w:pPr>
      <w:hyperlink r:id="rId13" w:history="1">
        <w:r w:rsidR="0039178D" w:rsidRPr="0039178D">
          <w:rPr>
            <w:rStyle w:val="Hyperlink"/>
            <w:rFonts w:eastAsia="Times New Roman"/>
          </w:rPr>
          <w:t>APG19-2-INP-11</w:t>
        </w:r>
      </w:hyperlink>
      <w:r w:rsidR="002C4B02">
        <w:rPr>
          <w:rFonts w:eastAsia="Times New Roman"/>
        </w:rPr>
        <w:t xml:space="preserve"> </w:t>
      </w:r>
      <w:r w:rsidR="008555E2">
        <w:rPr>
          <w:rFonts w:eastAsia="Times New Roman"/>
        </w:rPr>
        <w:t xml:space="preserve">(Korea), </w:t>
      </w:r>
      <w:hyperlink r:id="rId14" w:history="1"/>
      <w:r w:rsidR="008555E2">
        <w:rPr>
          <w:rFonts w:eastAsia="Times New Roman"/>
        </w:rPr>
        <w:t xml:space="preserve"> </w:t>
      </w:r>
      <w:hyperlink r:id="rId15" w:history="1">
        <w:r w:rsidR="0039178D" w:rsidRPr="0039178D">
          <w:rPr>
            <w:rStyle w:val="Hyperlink"/>
            <w:rFonts w:eastAsia="Times New Roman"/>
          </w:rPr>
          <w:t>APG19-2-INP-31</w:t>
        </w:r>
      </w:hyperlink>
      <w:r w:rsidR="0039178D">
        <w:rPr>
          <w:rFonts w:eastAsia="Times New Roman"/>
        </w:rPr>
        <w:t xml:space="preserve"> </w:t>
      </w:r>
      <w:r w:rsidR="008555E2">
        <w:rPr>
          <w:rFonts w:eastAsia="Times New Roman"/>
        </w:rPr>
        <w:t xml:space="preserve">(Australia), </w:t>
      </w:r>
      <w:hyperlink r:id="rId16" w:history="1"/>
      <w:r w:rsidR="008555E2">
        <w:rPr>
          <w:rFonts w:eastAsia="Times New Roman"/>
        </w:rPr>
        <w:t xml:space="preserve"> </w:t>
      </w:r>
      <w:hyperlink r:id="rId17" w:history="1">
        <w:r w:rsidR="0039178D" w:rsidRPr="0039178D">
          <w:rPr>
            <w:rStyle w:val="Hyperlink"/>
            <w:rFonts w:eastAsia="Times New Roman"/>
          </w:rPr>
          <w:t>APG19-2-INP-37</w:t>
        </w:r>
      </w:hyperlink>
      <w:r w:rsidR="0039178D">
        <w:rPr>
          <w:rFonts w:eastAsia="Times New Roman"/>
        </w:rPr>
        <w:t xml:space="preserve"> </w:t>
      </w:r>
      <w:r w:rsidR="008555E2">
        <w:rPr>
          <w:rFonts w:eastAsia="Times New Roman"/>
        </w:rPr>
        <w:t xml:space="preserve">(Iran), </w:t>
      </w:r>
      <w:hyperlink r:id="rId18" w:history="1"/>
      <w:r w:rsidR="002C4B02">
        <w:rPr>
          <w:rFonts w:eastAsia="Times New Roman"/>
        </w:rPr>
        <w:t xml:space="preserve"> </w:t>
      </w:r>
      <w:hyperlink r:id="rId19" w:history="1">
        <w:r w:rsidR="0039178D" w:rsidRPr="0039178D">
          <w:rPr>
            <w:rStyle w:val="Hyperlink"/>
            <w:rFonts w:eastAsia="Times New Roman"/>
          </w:rPr>
          <w:t>APG19-2-INP-52</w:t>
        </w:r>
      </w:hyperlink>
      <w:r w:rsidR="0039178D">
        <w:rPr>
          <w:rFonts w:eastAsia="Times New Roman"/>
        </w:rPr>
        <w:t xml:space="preserve"> </w:t>
      </w:r>
      <w:r w:rsidR="008555E2">
        <w:rPr>
          <w:rFonts w:eastAsia="Times New Roman"/>
        </w:rPr>
        <w:t xml:space="preserve">(China), </w:t>
      </w:r>
      <w:hyperlink r:id="rId20" w:history="1">
        <w:r w:rsidR="0039178D" w:rsidRPr="0039178D">
          <w:rPr>
            <w:rStyle w:val="Hyperlink"/>
            <w:rFonts w:eastAsia="Times New Roman"/>
          </w:rPr>
          <w:t>APG19-2-INP-58</w:t>
        </w:r>
      </w:hyperlink>
      <w:r w:rsidR="0039178D">
        <w:rPr>
          <w:rFonts w:eastAsia="Times New Roman"/>
        </w:rPr>
        <w:t xml:space="preserve"> </w:t>
      </w:r>
      <w:r w:rsidR="008555E2">
        <w:rPr>
          <w:rFonts w:eastAsia="Times New Roman"/>
        </w:rPr>
        <w:t>(Japan).</w:t>
      </w:r>
    </w:p>
    <w:p w14:paraId="27DCCE03" w14:textId="77777777" w:rsidR="006A02CF" w:rsidRPr="000D1978" w:rsidRDefault="007A507E" w:rsidP="00D9739F">
      <w:pPr>
        <w:spacing w:before="240" w:after="120"/>
        <w:jc w:val="both"/>
        <w:rPr>
          <w:b/>
          <w:i/>
          <w:lang w:eastAsia="ko-KR"/>
        </w:rPr>
      </w:pPr>
      <w:r w:rsidRPr="000D1978">
        <w:rPr>
          <w:b/>
          <w:i/>
          <w:lang w:eastAsia="ko-KR"/>
        </w:rPr>
        <w:t>2.2</w:t>
      </w:r>
      <w:r w:rsidR="006A02CF" w:rsidRPr="000D1978">
        <w:rPr>
          <w:b/>
          <w:i/>
          <w:lang w:eastAsia="ko-KR"/>
        </w:rPr>
        <w:t xml:space="preserve"> Information Documents:</w:t>
      </w:r>
    </w:p>
    <w:p w14:paraId="1F732ADD" w14:textId="1357F339" w:rsidR="000D1978" w:rsidRPr="001A4B20" w:rsidRDefault="0062779C" w:rsidP="009775C5">
      <w:pPr>
        <w:pStyle w:val="ListParagraph"/>
        <w:widowControl w:val="0"/>
        <w:numPr>
          <w:ilvl w:val="0"/>
          <w:numId w:val="10"/>
        </w:numPr>
        <w:overflowPunct w:val="0"/>
        <w:ind w:left="720" w:rightChars="100" w:right="240" w:hanging="360"/>
        <w:rPr>
          <w:rFonts w:eastAsia="Times New Roman"/>
        </w:rPr>
      </w:pPr>
      <w:hyperlink r:id="rId21" w:tgtFrame="_blank" w:history="1">
        <w:r w:rsidR="00813822" w:rsidRPr="00C255E9">
          <w:rPr>
            <w:rStyle w:val="Hyperlink"/>
            <w:rFonts w:eastAsia="Times New Roman"/>
            <w:color w:val="0062A0"/>
          </w:rPr>
          <w:t>APG19-2/INF-01</w:t>
        </w:r>
      </w:hyperlink>
      <w:r w:rsidR="002C4B02">
        <w:rPr>
          <w:rFonts w:eastAsia="Times New Roman"/>
          <w:b/>
          <w:bCs/>
          <w:color w:val="000000"/>
        </w:rPr>
        <w:t xml:space="preserve"> </w:t>
      </w:r>
      <w:r w:rsidR="00813822" w:rsidRPr="00C255E9">
        <w:rPr>
          <w:rFonts w:eastAsia="Times New Roman"/>
          <w:b/>
          <w:bCs/>
          <w:color w:val="000000"/>
        </w:rPr>
        <w:t>(</w:t>
      </w:r>
      <w:r w:rsidR="00CE08DC" w:rsidRPr="00C255E9">
        <w:rPr>
          <w:rFonts w:eastAsia="Times New Roman"/>
          <w:color w:val="000000"/>
          <w:shd w:val="clear" w:color="auto" w:fill="FFFFFF"/>
        </w:rPr>
        <w:t>Chairman, APG-19</w:t>
      </w:r>
      <w:r w:rsidR="00CE08DC" w:rsidRPr="00C255E9">
        <w:rPr>
          <w:rFonts w:eastAsia="Times New Roman"/>
        </w:rPr>
        <w:t xml:space="preserve"> : information f</w:t>
      </w:r>
      <w:r w:rsidR="005F0B69">
        <w:rPr>
          <w:rFonts w:eastAsia="Times New Roman"/>
        </w:rPr>
        <w:t>rom</w:t>
      </w:r>
      <w:r w:rsidR="00CE08DC" w:rsidRPr="00C255E9">
        <w:rPr>
          <w:rFonts w:eastAsia="Times New Roman"/>
        </w:rPr>
        <w:t xml:space="preserve"> </w:t>
      </w:r>
      <w:r w:rsidR="00813822" w:rsidRPr="00C255E9">
        <w:rPr>
          <w:rFonts w:eastAsia="Times New Roman"/>
          <w:b/>
          <w:bCs/>
          <w:color w:val="000000"/>
        </w:rPr>
        <w:t>ASMG</w:t>
      </w:r>
      <w:r w:rsidR="00105971" w:rsidRPr="00C255E9">
        <w:rPr>
          <w:rFonts w:eastAsia="Times New Roman"/>
          <w:b/>
          <w:bCs/>
          <w:color w:val="000000"/>
        </w:rPr>
        <w:t>, CEPT</w:t>
      </w:r>
      <w:r w:rsidR="00CE08DC" w:rsidRPr="00C255E9">
        <w:rPr>
          <w:rFonts w:eastAsia="Times New Roman"/>
          <w:b/>
          <w:bCs/>
          <w:color w:val="000000"/>
        </w:rPr>
        <w:t>, ATU, RCC</w:t>
      </w:r>
      <w:r w:rsidR="00105971" w:rsidRPr="00C255E9">
        <w:rPr>
          <w:rFonts w:eastAsia="Times New Roman"/>
          <w:b/>
          <w:bCs/>
          <w:color w:val="000000"/>
        </w:rPr>
        <w:t>)</w:t>
      </w:r>
      <w:r w:rsidR="00C255E9" w:rsidRPr="00C255E9">
        <w:rPr>
          <w:rFonts w:eastAsia="Times New Roman"/>
          <w:b/>
          <w:bCs/>
          <w:color w:val="000000"/>
        </w:rPr>
        <w:t xml:space="preserve">, </w:t>
      </w:r>
      <w:hyperlink r:id="rId22" w:history="1">
        <w:r w:rsidR="002C4B02" w:rsidRPr="001A4B20">
          <w:rPr>
            <w:rStyle w:val="Hyperlink"/>
            <w:rFonts w:eastAsia="Times New Roman"/>
            <w:bCs/>
          </w:rPr>
          <w:t>APG19-2-INF-02</w:t>
        </w:r>
      </w:hyperlink>
      <w:r w:rsidR="002C4B02" w:rsidRPr="001A4B20">
        <w:rPr>
          <w:rFonts w:eastAsia="Times New Roman"/>
          <w:bCs/>
          <w:color w:val="000000"/>
        </w:rPr>
        <w:t xml:space="preserve"> </w:t>
      </w:r>
      <w:r w:rsidR="00C255E9" w:rsidRPr="001A4B20">
        <w:rPr>
          <w:rFonts w:eastAsia="Times New Roman"/>
          <w:bCs/>
          <w:color w:val="000000"/>
        </w:rPr>
        <w:t>(ICAO),</w:t>
      </w:r>
      <w:r w:rsidR="00386031" w:rsidRPr="001A4B20">
        <w:rPr>
          <w:rFonts w:eastAsia="Times New Roman"/>
          <w:bCs/>
          <w:color w:val="000000"/>
        </w:rPr>
        <w:t xml:space="preserve"> </w:t>
      </w:r>
      <w:hyperlink r:id="rId23" w:history="1">
        <w:r w:rsidR="006F6AF2" w:rsidRPr="001A4B20">
          <w:rPr>
            <w:rStyle w:val="Hyperlink"/>
            <w:rFonts w:eastAsia="Times New Roman"/>
            <w:bCs/>
          </w:rPr>
          <w:t>APG19-2-INF-03</w:t>
        </w:r>
      </w:hyperlink>
      <w:r w:rsidR="00386031" w:rsidRPr="001A4B20">
        <w:rPr>
          <w:rFonts w:eastAsia="Times New Roman"/>
          <w:bCs/>
          <w:color w:val="000000"/>
        </w:rPr>
        <w:t xml:space="preserve"> (ITU-BR),</w:t>
      </w:r>
      <w:r w:rsidR="00C255E9" w:rsidRPr="001A4B20">
        <w:rPr>
          <w:rFonts w:eastAsia="Times New Roman"/>
          <w:bCs/>
          <w:color w:val="000000"/>
        </w:rPr>
        <w:t xml:space="preserve"> </w:t>
      </w:r>
      <w:hyperlink r:id="rId24" w:history="1">
        <w:r w:rsidR="006F6AF2" w:rsidRPr="001A4B20">
          <w:rPr>
            <w:rStyle w:val="Hyperlink"/>
            <w:rFonts w:eastAsia="Times New Roman"/>
            <w:bCs/>
          </w:rPr>
          <w:t>APG19-2-INF-04</w:t>
        </w:r>
      </w:hyperlink>
      <w:r w:rsidR="00121F5F" w:rsidRPr="001A4B20">
        <w:rPr>
          <w:rFonts w:eastAsia="Times New Roman"/>
          <w:bCs/>
          <w:color w:val="000000"/>
        </w:rPr>
        <w:t xml:space="preserve"> (CITEL)</w:t>
      </w:r>
      <w:r w:rsidR="00B51137" w:rsidRPr="001A4B20">
        <w:rPr>
          <w:rFonts w:eastAsia="Times New Roman"/>
          <w:bCs/>
          <w:color w:val="000000"/>
        </w:rPr>
        <w:t xml:space="preserve">, </w:t>
      </w:r>
      <w:hyperlink r:id="rId25" w:history="1">
        <w:r w:rsidR="006F6AF2" w:rsidRPr="001A4B20">
          <w:rPr>
            <w:rStyle w:val="Hyperlink"/>
            <w:rFonts w:eastAsia="Times New Roman"/>
            <w:bCs/>
          </w:rPr>
          <w:t>APG19-2-INF-05</w:t>
        </w:r>
      </w:hyperlink>
      <w:r w:rsidR="006F6AF2" w:rsidRPr="001A4B20">
        <w:rPr>
          <w:rFonts w:eastAsia="Times New Roman"/>
          <w:bCs/>
          <w:color w:val="000000"/>
        </w:rPr>
        <w:t xml:space="preserve"> </w:t>
      </w:r>
      <w:r w:rsidR="00B51137" w:rsidRPr="001A4B20">
        <w:rPr>
          <w:rFonts w:eastAsia="Times New Roman"/>
          <w:bCs/>
          <w:color w:val="000000"/>
        </w:rPr>
        <w:t>(RCC)</w:t>
      </w:r>
      <w:r w:rsidR="000D1978" w:rsidRPr="001A4B20">
        <w:rPr>
          <w:rFonts w:eastAsia="Times New Roman"/>
          <w:bCs/>
          <w:color w:val="000000"/>
        </w:rPr>
        <w:t xml:space="preserve">, </w:t>
      </w:r>
      <w:r w:rsidR="006F6AF2" w:rsidRPr="001A4B20">
        <w:rPr>
          <w:rFonts w:eastAsia="Times New Roman"/>
          <w:bCs/>
          <w:color w:val="000000"/>
        </w:rPr>
        <w:t xml:space="preserve"> </w:t>
      </w:r>
      <w:hyperlink r:id="rId26" w:history="1">
        <w:r w:rsidR="00714AF4" w:rsidRPr="001A4B20">
          <w:rPr>
            <w:rStyle w:val="Hyperlink"/>
            <w:rFonts w:eastAsia="Times New Roman"/>
            <w:bCs/>
          </w:rPr>
          <w:t>APG19-2-INF-07</w:t>
        </w:r>
      </w:hyperlink>
      <w:r w:rsidR="00714AF4" w:rsidRPr="001A4B20">
        <w:rPr>
          <w:rFonts w:eastAsia="Times New Roman"/>
          <w:bCs/>
          <w:color w:val="000000"/>
        </w:rPr>
        <w:t xml:space="preserve"> (ATU), </w:t>
      </w:r>
      <w:hyperlink r:id="rId27" w:history="1">
        <w:r w:rsidR="006F6AF2" w:rsidRPr="001A4B20">
          <w:rPr>
            <w:rStyle w:val="Hyperlink"/>
            <w:rFonts w:eastAsia="Times New Roman"/>
            <w:bCs/>
          </w:rPr>
          <w:t>APG19-2-INF-14</w:t>
        </w:r>
      </w:hyperlink>
      <w:r w:rsidR="000D1978" w:rsidRPr="001A4B20">
        <w:rPr>
          <w:rFonts w:eastAsia="Times New Roman"/>
          <w:bCs/>
          <w:color w:val="000000"/>
        </w:rPr>
        <w:t xml:space="preserve"> (CEPT)</w:t>
      </w:r>
      <w:r w:rsidR="004A11B8" w:rsidRPr="001A4B20">
        <w:rPr>
          <w:rFonts w:eastAsia="Times New Roman"/>
          <w:bCs/>
          <w:color w:val="000000"/>
        </w:rPr>
        <w:t>.</w:t>
      </w:r>
    </w:p>
    <w:p w14:paraId="7E6F438A" w14:textId="77777777" w:rsidR="00813822" w:rsidRPr="003956DE" w:rsidRDefault="00813822" w:rsidP="003956DE">
      <w:pPr>
        <w:pStyle w:val="ListParagraph"/>
        <w:ind w:left="420"/>
        <w:rPr>
          <w:rFonts w:eastAsia="Times New Roman"/>
        </w:rPr>
      </w:pPr>
    </w:p>
    <w:p w14:paraId="6842B2D7" w14:textId="77777777" w:rsidR="006A02CF" w:rsidRDefault="007A507E" w:rsidP="00D93D55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 xml:space="preserve">3. </w:t>
      </w:r>
      <w:r w:rsidR="006A02CF">
        <w:rPr>
          <w:b/>
          <w:lang w:eastAsia="ko-KR"/>
        </w:rPr>
        <w:t>Summary of Discussion:</w:t>
      </w:r>
    </w:p>
    <w:p w14:paraId="28B552B9" w14:textId="38B1B9D9" w:rsidR="00DD5A18" w:rsidRPr="00874E7E" w:rsidRDefault="00714AF4" w:rsidP="00D9739F">
      <w:pPr>
        <w:spacing w:before="240" w:after="120"/>
        <w:jc w:val="both"/>
        <w:rPr>
          <w:b/>
          <w:lang w:eastAsia="ko-KR"/>
        </w:rPr>
      </w:pPr>
      <w:r>
        <w:rPr>
          <w:b/>
          <w:lang w:val="en-NZ" w:eastAsia="ko-KR"/>
        </w:rPr>
        <w:t xml:space="preserve">3.1     </w:t>
      </w:r>
      <w:r w:rsidR="00DD5A18" w:rsidRPr="00874E7E">
        <w:rPr>
          <w:b/>
          <w:lang w:val="en-NZ" w:eastAsia="ko-KR"/>
        </w:rPr>
        <w:t>S</w:t>
      </w:r>
      <w:r w:rsidR="00DD5A18" w:rsidRPr="00874E7E">
        <w:rPr>
          <w:rFonts w:hint="eastAsia"/>
          <w:b/>
          <w:lang w:val="en-NZ" w:eastAsia="ko-KR"/>
        </w:rPr>
        <w:t xml:space="preserve">ummary </w:t>
      </w:r>
      <w:r w:rsidR="00DD5A18" w:rsidRPr="00874E7E">
        <w:rPr>
          <w:b/>
          <w:lang w:val="en-NZ" w:eastAsia="ko-KR"/>
        </w:rPr>
        <w:t xml:space="preserve">of Members’ </w:t>
      </w:r>
      <w:r w:rsidR="00E865F5">
        <w:rPr>
          <w:b/>
          <w:lang w:val="en-NZ" w:eastAsia="ko-KR"/>
        </w:rPr>
        <w:t xml:space="preserve">Preliminary </w:t>
      </w:r>
      <w:r w:rsidR="00DD5A18" w:rsidRPr="00874E7E">
        <w:rPr>
          <w:b/>
          <w:lang w:val="en-NZ" w:eastAsia="ko-KR"/>
        </w:rPr>
        <w:t>view</w:t>
      </w:r>
      <w:r w:rsidR="00E865F5">
        <w:rPr>
          <w:b/>
          <w:lang w:val="en-NZ" w:eastAsia="ko-KR"/>
        </w:rPr>
        <w:t>s</w:t>
      </w:r>
    </w:p>
    <w:p w14:paraId="24245836" w14:textId="02DCD4B5" w:rsidR="00C4585B" w:rsidRPr="00874E7E" w:rsidRDefault="00C4585B" w:rsidP="00D9739F">
      <w:pPr>
        <w:spacing w:before="240" w:after="120"/>
        <w:jc w:val="both"/>
        <w:rPr>
          <w:b/>
          <w:lang w:val="en-NZ" w:eastAsia="ko-KR"/>
        </w:rPr>
      </w:pPr>
      <w:proofErr w:type="gramStart"/>
      <w:r w:rsidRPr="00874E7E">
        <w:rPr>
          <w:b/>
          <w:lang w:val="en-NZ" w:eastAsia="ko-KR"/>
        </w:rPr>
        <w:t xml:space="preserve">3.1.1 </w:t>
      </w:r>
      <w:r w:rsidR="006115D3">
        <w:rPr>
          <w:b/>
          <w:lang w:val="en-NZ" w:eastAsia="ko-KR"/>
        </w:rPr>
        <w:t xml:space="preserve"> </w:t>
      </w:r>
      <w:r w:rsidR="00CE39E0" w:rsidRPr="00874E7E">
        <w:rPr>
          <w:b/>
          <w:lang w:val="en-NZ" w:eastAsia="ko-KR"/>
        </w:rPr>
        <w:t>Korea</w:t>
      </w:r>
      <w:proofErr w:type="gramEnd"/>
    </w:p>
    <w:p w14:paraId="4C2AD7F0" w14:textId="77777777" w:rsidR="00F07505" w:rsidRPr="00D9739F" w:rsidRDefault="00F07505" w:rsidP="00714AF4">
      <w:pPr>
        <w:ind w:left="630"/>
        <w:jc w:val="both"/>
        <w:rPr>
          <w:rFonts w:eastAsiaTheme="minorEastAsia"/>
          <w:color w:val="000000" w:themeColor="text1"/>
          <w:spacing w:val="-4"/>
        </w:rPr>
      </w:pPr>
      <w:r w:rsidRPr="00D9739F">
        <w:t xml:space="preserve">The Republic of Korea </w:t>
      </w:r>
      <w:r w:rsidRPr="00D9739F">
        <w:rPr>
          <w:rFonts w:eastAsia="신명조"/>
        </w:rPr>
        <w:t xml:space="preserve">supports the ITU-R studies in accordance with Resolution </w:t>
      </w:r>
      <w:r w:rsidRPr="00D9739F">
        <w:rPr>
          <w:rFonts w:eastAsia="신명조"/>
          <w:b/>
        </w:rPr>
        <w:t>766 (WRC-15)</w:t>
      </w:r>
      <w:r w:rsidRPr="00D9739F">
        <w:rPr>
          <w:rFonts w:eastAsia="신명조"/>
        </w:rPr>
        <w:t xml:space="preserve">, </w:t>
      </w:r>
      <w:r w:rsidRPr="00D9739F">
        <w:t>while</w:t>
      </w:r>
      <w:r w:rsidRPr="00D9739F">
        <w:rPr>
          <w:spacing w:val="72"/>
        </w:rPr>
        <w:t xml:space="preserve"> </w:t>
      </w:r>
      <w:r w:rsidRPr="00D9739F">
        <w:t>providing</w:t>
      </w:r>
      <w:r w:rsidRPr="00D9739F">
        <w:rPr>
          <w:spacing w:val="-3"/>
        </w:rPr>
        <w:t xml:space="preserve"> </w:t>
      </w:r>
      <w:r w:rsidRPr="00D9739F">
        <w:rPr>
          <w:spacing w:val="-1"/>
        </w:rPr>
        <w:t>protection</w:t>
      </w:r>
      <w:r w:rsidRPr="00D9739F">
        <w:t xml:space="preserve"> </w:t>
      </w:r>
      <w:r w:rsidRPr="00D9739F">
        <w:rPr>
          <w:spacing w:val="-1"/>
        </w:rPr>
        <w:t>and</w:t>
      </w:r>
      <w:r w:rsidRPr="00D9739F">
        <w:rPr>
          <w:spacing w:val="2"/>
        </w:rPr>
        <w:t xml:space="preserve"> </w:t>
      </w:r>
      <w:r w:rsidRPr="00D9739F">
        <w:t>not imposing</w:t>
      </w:r>
      <w:r w:rsidRPr="00D9739F">
        <w:rPr>
          <w:spacing w:val="-2"/>
        </w:rPr>
        <w:t xml:space="preserve"> </w:t>
      </w:r>
      <w:r w:rsidRPr="00D9739F">
        <w:t>any</w:t>
      </w:r>
      <w:r w:rsidRPr="00D9739F">
        <w:rPr>
          <w:spacing w:val="-3"/>
        </w:rPr>
        <w:t xml:space="preserve"> </w:t>
      </w:r>
      <w:r w:rsidRPr="00D9739F">
        <w:rPr>
          <w:spacing w:val="-1"/>
        </w:rPr>
        <w:t>additional</w:t>
      </w:r>
      <w:r w:rsidRPr="00D9739F">
        <w:t xml:space="preserve"> </w:t>
      </w:r>
      <w:r w:rsidRPr="00D9739F">
        <w:rPr>
          <w:spacing w:val="-1"/>
        </w:rPr>
        <w:t>constraints</w:t>
      </w:r>
      <w:r w:rsidRPr="00D9739F">
        <w:t xml:space="preserve"> on </w:t>
      </w:r>
      <w:r w:rsidRPr="00D9739F">
        <w:rPr>
          <w:spacing w:val="-1"/>
        </w:rPr>
        <w:t>existing</w:t>
      </w:r>
      <w:r w:rsidRPr="00D9739F">
        <w:rPr>
          <w:spacing w:val="-3"/>
        </w:rPr>
        <w:t xml:space="preserve"> </w:t>
      </w:r>
      <w:r w:rsidRPr="00D9739F">
        <w:t>primary</w:t>
      </w:r>
      <w:r w:rsidRPr="00D9739F">
        <w:rPr>
          <w:spacing w:val="-5"/>
        </w:rPr>
        <w:t xml:space="preserve"> </w:t>
      </w:r>
      <w:r w:rsidRPr="00D9739F">
        <w:rPr>
          <w:spacing w:val="-1"/>
        </w:rPr>
        <w:t>services</w:t>
      </w:r>
      <w:r w:rsidRPr="00D9739F">
        <w:t xml:space="preserve"> in the</w:t>
      </w:r>
      <w:r w:rsidRPr="00D9739F">
        <w:rPr>
          <w:spacing w:val="-1"/>
        </w:rPr>
        <w:t xml:space="preserve"> frequency band 460-470 MHz and adjacent</w:t>
      </w:r>
      <w:r w:rsidRPr="00D9739F">
        <w:t xml:space="preserve"> frequency</w:t>
      </w:r>
      <w:r w:rsidRPr="00D9739F">
        <w:rPr>
          <w:spacing w:val="-3"/>
        </w:rPr>
        <w:t xml:space="preserve"> </w:t>
      </w:r>
      <w:r w:rsidRPr="00D9739F">
        <w:rPr>
          <w:spacing w:val="-1"/>
        </w:rPr>
        <w:t>bands</w:t>
      </w:r>
      <w:r w:rsidRPr="00D9739F">
        <w:rPr>
          <w:rFonts w:eastAsiaTheme="minorEastAsia"/>
          <w:color w:val="000000" w:themeColor="text1"/>
          <w:spacing w:val="-4"/>
        </w:rPr>
        <w:t>.</w:t>
      </w:r>
    </w:p>
    <w:p w14:paraId="185D064D" w14:textId="3D3E1B60" w:rsidR="0041779A" w:rsidRPr="00D9739F" w:rsidRDefault="0089738D" w:rsidP="00714AF4">
      <w:pPr>
        <w:spacing w:before="240" w:after="120"/>
        <w:ind w:left="630"/>
        <w:jc w:val="both"/>
        <w:rPr>
          <w:lang w:eastAsia="ko-KR"/>
        </w:rPr>
      </w:pPr>
      <w:r>
        <w:rPr>
          <w:b/>
          <w:lang w:eastAsia="ko-KR"/>
        </w:rPr>
        <w:t>(</w:t>
      </w:r>
      <w:r w:rsidR="0041779A" w:rsidRPr="00D9739F">
        <w:rPr>
          <w:i/>
          <w:color w:val="000000" w:themeColor="text1"/>
        </w:rPr>
        <w:t>Editor’s note:</w:t>
      </w:r>
      <w:r w:rsidR="00D767EE" w:rsidRPr="00D9739F">
        <w:rPr>
          <w:rFonts w:eastAsia="Times New Roman"/>
        </w:rPr>
        <w:t xml:space="preserve"> </w:t>
      </w:r>
      <w:hyperlink r:id="rId28" w:history="1">
        <w:r w:rsidR="006A3F8C" w:rsidRPr="006A3F8C">
          <w:rPr>
            <w:rStyle w:val="Hyperlink"/>
            <w:rFonts w:eastAsia="Times New Roman"/>
          </w:rPr>
          <w:t>APG19-2-INP-11</w:t>
        </w:r>
      </w:hyperlink>
      <w:r w:rsidR="00D767EE" w:rsidRPr="00D9739F">
        <w:rPr>
          <w:rFonts w:eastAsia="Times New Roman"/>
        </w:rPr>
        <w:t xml:space="preserve"> </w:t>
      </w:r>
      <w:r>
        <w:rPr>
          <w:rFonts w:eastAsia="Times New Roman"/>
          <w:b/>
          <w:bCs/>
          <w:color w:val="000000"/>
        </w:rPr>
        <w:t>)</w:t>
      </w:r>
    </w:p>
    <w:p w14:paraId="5ED5D40B" w14:textId="058826D8" w:rsidR="00CE39E0" w:rsidRDefault="00C4585B" w:rsidP="00393E67">
      <w:pPr>
        <w:spacing w:before="240"/>
        <w:rPr>
          <w:rFonts w:eastAsia="Times New Roman"/>
          <w:b/>
          <w:color w:val="000000"/>
          <w:shd w:val="clear" w:color="auto" w:fill="FFFFFF"/>
        </w:rPr>
      </w:pPr>
      <w:proofErr w:type="gramStart"/>
      <w:r w:rsidRPr="00874E7E">
        <w:rPr>
          <w:b/>
          <w:lang w:val="en-NZ" w:eastAsia="ko-KR"/>
        </w:rPr>
        <w:t xml:space="preserve">3.1.2 </w:t>
      </w:r>
      <w:r w:rsidR="00714AF4">
        <w:rPr>
          <w:b/>
          <w:lang w:val="en-NZ" w:eastAsia="ko-KR"/>
        </w:rPr>
        <w:t xml:space="preserve"> </w:t>
      </w:r>
      <w:r w:rsidR="007F7343">
        <w:rPr>
          <w:rFonts w:eastAsia="Times New Roman"/>
          <w:b/>
          <w:color w:val="000000"/>
          <w:shd w:val="clear" w:color="auto" w:fill="FFFFFF"/>
        </w:rPr>
        <w:t>Australia</w:t>
      </w:r>
      <w:proofErr w:type="gramEnd"/>
    </w:p>
    <w:p w14:paraId="2A9639C3" w14:textId="77777777" w:rsidR="0021296C" w:rsidRDefault="0021296C" w:rsidP="00CE39E0">
      <w:pPr>
        <w:rPr>
          <w:rFonts w:ascii="Times" w:eastAsia="Times New Roman" w:hAnsi="Times"/>
          <w:sz w:val="20"/>
          <w:szCs w:val="20"/>
        </w:rPr>
      </w:pPr>
    </w:p>
    <w:p w14:paraId="5935ADB0" w14:textId="7D446CEE" w:rsidR="007F7343" w:rsidRDefault="007F7343" w:rsidP="00714AF4">
      <w:pPr>
        <w:spacing w:after="100" w:afterAutospacing="1"/>
        <w:ind w:left="630"/>
        <w:jc w:val="both"/>
      </w:pPr>
      <w:r w:rsidRPr="000E1BBA">
        <w:rPr>
          <w:lang w:val="en-AU"/>
        </w:rPr>
        <w:t xml:space="preserve">Australia supports in principle, an upgrade of the </w:t>
      </w:r>
      <w:proofErr w:type="spellStart"/>
      <w:r w:rsidRPr="000E1BBA">
        <w:rPr>
          <w:lang w:val="en-AU"/>
        </w:rPr>
        <w:t>MetSat</w:t>
      </w:r>
      <w:proofErr w:type="spellEnd"/>
      <w:r w:rsidRPr="000E1BBA">
        <w:rPr>
          <w:lang w:val="en-AU"/>
        </w:rPr>
        <w:t xml:space="preserve"> (space-to-Earth) service to primary status, and an additional primary allocation to the EESS (space-to-Earth) in the frequency band 460</w:t>
      </w:r>
      <w:r w:rsidRPr="000E1BBA">
        <w:rPr>
          <w:lang w:val="en-AU"/>
        </w:rPr>
        <w:noBreakHyphen/>
        <w:t>470 MHz, subject to sharing and compatibility studies with the fixed and mobile services in this band.</w:t>
      </w:r>
    </w:p>
    <w:p w14:paraId="4A6189F1" w14:textId="3594BF35" w:rsidR="00CE39E0" w:rsidRPr="000F100D" w:rsidRDefault="0089738D" w:rsidP="00714AF4">
      <w:pPr>
        <w:tabs>
          <w:tab w:val="left" w:pos="600"/>
        </w:tabs>
        <w:ind w:left="630"/>
        <w:rPr>
          <w:lang w:val="en-NZ"/>
        </w:rPr>
      </w:pPr>
      <w:r>
        <w:rPr>
          <w:b/>
          <w:lang w:eastAsia="ko-KR"/>
        </w:rPr>
        <w:t>(</w:t>
      </w:r>
      <w:r w:rsidR="001B264D" w:rsidRPr="001B264D">
        <w:rPr>
          <w:i/>
          <w:color w:val="000000" w:themeColor="text1"/>
        </w:rPr>
        <w:t>Editor’s note:</w:t>
      </w:r>
      <w:r w:rsidR="006A3F8C">
        <w:rPr>
          <w:i/>
          <w:color w:val="000000" w:themeColor="text1"/>
        </w:rPr>
        <w:t xml:space="preserve"> </w:t>
      </w:r>
      <w:hyperlink r:id="rId29" w:history="1">
        <w:r w:rsidR="006A3F8C" w:rsidRPr="006A3F8C">
          <w:rPr>
            <w:rStyle w:val="Hyperlink"/>
          </w:rPr>
          <w:t>APG19-2-INP-31</w:t>
        </w:r>
      </w:hyperlink>
      <w:r>
        <w:rPr>
          <w:rFonts w:eastAsia="Times New Roman"/>
          <w:b/>
          <w:bCs/>
          <w:color w:val="000000"/>
        </w:rPr>
        <w:t>)</w:t>
      </w:r>
    </w:p>
    <w:p w14:paraId="2158D381" w14:textId="36A7CFA6" w:rsidR="00C4585B" w:rsidRDefault="00C4585B" w:rsidP="00C4585B">
      <w:pPr>
        <w:spacing w:after="120"/>
        <w:jc w:val="both"/>
        <w:rPr>
          <w:b/>
          <w:color w:val="FF0000"/>
          <w:lang w:val="en-NZ" w:eastAsia="ko-KR"/>
        </w:rPr>
      </w:pPr>
    </w:p>
    <w:p w14:paraId="3E061E4D" w14:textId="65C769CB" w:rsidR="003612AB" w:rsidRPr="00874E7E" w:rsidRDefault="00D75546" w:rsidP="003612AB">
      <w:pPr>
        <w:spacing w:after="120"/>
        <w:jc w:val="both"/>
        <w:rPr>
          <w:b/>
          <w:lang w:val="en-NZ" w:eastAsia="ko-KR"/>
        </w:rPr>
      </w:pPr>
      <w:proofErr w:type="gramStart"/>
      <w:r>
        <w:rPr>
          <w:b/>
          <w:lang w:val="en-NZ" w:eastAsia="ko-KR"/>
        </w:rPr>
        <w:t xml:space="preserve">3.1.3 </w:t>
      </w:r>
      <w:r w:rsidR="006A3F8C">
        <w:rPr>
          <w:b/>
          <w:lang w:val="en-NZ" w:eastAsia="ko-KR"/>
        </w:rPr>
        <w:t xml:space="preserve"> </w:t>
      </w:r>
      <w:r w:rsidR="007F7343">
        <w:rPr>
          <w:b/>
          <w:lang w:val="en-NZ" w:eastAsia="ko-KR"/>
        </w:rPr>
        <w:t>Iran</w:t>
      </w:r>
      <w:proofErr w:type="gramEnd"/>
    </w:p>
    <w:p w14:paraId="2F68CB9B" w14:textId="4758664E" w:rsidR="002740EA" w:rsidRPr="00D9739F" w:rsidRDefault="00A856F4" w:rsidP="006A3F8C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="630"/>
        <w:jc w:val="both"/>
        <w:rPr>
          <w:rFonts w:eastAsia="Times New Roman"/>
          <w:bdr w:val="none" w:sz="0" w:space="0" w:color="auto" w:frame="1"/>
          <w:lang w:val="en-GB"/>
        </w:rPr>
      </w:pPr>
      <w:r>
        <w:rPr>
          <w:rFonts w:eastAsia="Times New Roman"/>
          <w:lang w:val="en-GB"/>
        </w:rPr>
        <w:lastRenderedPageBreak/>
        <w:t>The Islamic Republic of Iran</w:t>
      </w:r>
      <w:r w:rsidR="002740EA" w:rsidRPr="00D9739F">
        <w:rPr>
          <w:rFonts w:eastAsia="Times New Roman"/>
          <w:lang w:val="en-GB"/>
        </w:rPr>
        <w:t xml:space="preserve"> may agree upgrading the secondary allocation of the meteorological-satellite service (space-to-Earth) to a primary status and adding a primary allocation to the Earth exploration-satellite service (space-to-Earth) in the frequency band 460-470 MHz provided that:</w:t>
      </w:r>
      <w:r w:rsidR="002740EA" w:rsidRPr="00D9739F">
        <w:rPr>
          <w:rFonts w:eastAsia="Times New Roman"/>
          <w:bdr w:val="none" w:sz="0" w:space="0" w:color="auto" w:frame="1"/>
          <w:lang w:val="en-GB"/>
        </w:rPr>
        <w:t xml:space="preserve"> </w:t>
      </w:r>
    </w:p>
    <w:p w14:paraId="6257C7C2" w14:textId="77777777" w:rsidR="002740EA" w:rsidRPr="00D9739F" w:rsidRDefault="002740EA" w:rsidP="006A3F8C">
      <w:pPr>
        <w:numPr>
          <w:ilvl w:val="0"/>
          <w:numId w:val="34"/>
        </w:numPr>
        <w:tabs>
          <w:tab w:val="left" w:pos="34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60"/>
        <w:ind w:left="630" w:firstLine="0"/>
        <w:jc w:val="both"/>
        <w:rPr>
          <w:rFonts w:eastAsia="Calibri"/>
          <w:bdr w:val="none" w:sz="0" w:space="0" w:color="auto" w:frame="1"/>
          <w:lang w:val="en-GB"/>
        </w:rPr>
      </w:pPr>
      <w:r w:rsidRPr="00D9739F">
        <w:rPr>
          <w:rFonts w:eastAsia="Times New Roman"/>
          <w:lang w:val="en-GB"/>
        </w:rPr>
        <w:t>The protection of fixed and mobile services in the frequency band 460-470 MHz and in adjacent frequency bands is ensured</w:t>
      </w:r>
      <w:r w:rsidRPr="00D9739F">
        <w:rPr>
          <w:rFonts w:eastAsia="Calibri"/>
          <w:bdr w:val="none" w:sz="0" w:space="0" w:color="auto" w:frame="1"/>
          <w:lang w:val="en-GB"/>
        </w:rPr>
        <w:t>.</w:t>
      </w:r>
    </w:p>
    <w:p w14:paraId="5C973E22" w14:textId="77777777" w:rsidR="002740EA" w:rsidRPr="00D9739F" w:rsidRDefault="002740EA" w:rsidP="006A3F8C">
      <w:pPr>
        <w:numPr>
          <w:ilvl w:val="0"/>
          <w:numId w:val="34"/>
        </w:numPr>
        <w:tabs>
          <w:tab w:val="left" w:pos="34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60"/>
        <w:ind w:left="630" w:firstLine="0"/>
        <w:jc w:val="both"/>
        <w:rPr>
          <w:rFonts w:eastAsia="Times New Roman"/>
          <w:lang w:val="en-GB"/>
        </w:rPr>
      </w:pPr>
      <w:r w:rsidRPr="00D9739F">
        <w:rPr>
          <w:rFonts w:eastAsia="Times New Roman"/>
          <w:lang w:val="en-GB"/>
        </w:rPr>
        <w:t>No additional constraints on existing fixed and mobile services in the frequency band 460-470 MHz and in the adjacent frequency bands are imposed.</w:t>
      </w:r>
    </w:p>
    <w:p w14:paraId="31378455" w14:textId="77777777" w:rsidR="002740EA" w:rsidRPr="00D9739F" w:rsidRDefault="002740EA" w:rsidP="006A3F8C">
      <w:pPr>
        <w:numPr>
          <w:ilvl w:val="0"/>
          <w:numId w:val="34"/>
        </w:numPr>
        <w:tabs>
          <w:tab w:val="left" w:pos="34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60"/>
        <w:ind w:firstLine="0"/>
        <w:jc w:val="both"/>
        <w:rPr>
          <w:rFonts w:eastAsia="Times New Roman"/>
          <w:lang w:val="en-GB"/>
        </w:rPr>
      </w:pPr>
      <w:proofErr w:type="spellStart"/>
      <w:r w:rsidRPr="00D9739F">
        <w:rPr>
          <w:rFonts w:eastAsia="Times New Roman"/>
          <w:lang w:val="en-GB"/>
        </w:rPr>
        <w:t>MetSat</w:t>
      </w:r>
      <w:proofErr w:type="spellEnd"/>
      <w:r w:rsidRPr="00D9739F">
        <w:rPr>
          <w:rFonts w:eastAsia="Times New Roman"/>
          <w:lang w:val="en-GB"/>
        </w:rPr>
        <w:t xml:space="preserve"> and EESS earth stations will not claim protection from stations in the fixed and mobile services.</w:t>
      </w:r>
    </w:p>
    <w:p w14:paraId="07E534FD" w14:textId="4BAF11D5" w:rsidR="00DA2CEB" w:rsidRPr="006A3F8C" w:rsidRDefault="002740EA" w:rsidP="0041779A">
      <w:pPr>
        <w:numPr>
          <w:ilvl w:val="0"/>
          <w:numId w:val="34"/>
        </w:numPr>
        <w:tabs>
          <w:tab w:val="left" w:pos="34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60"/>
        <w:ind w:firstLine="0"/>
        <w:jc w:val="both"/>
        <w:rPr>
          <w:rFonts w:eastAsia="Times New Roman"/>
          <w:lang w:val="en-GB"/>
        </w:rPr>
      </w:pPr>
      <w:r w:rsidRPr="00D9739F">
        <w:rPr>
          <w:rFonts w:eastAsia="Times New Roman"/>
          <w:lang w:val="en-GB"/>
        </w:rPr>
        <w:t xml:space="preserve">Priority of </w:t>
      </w:r>
      <w:proofErr w:type="spellStart"/>
      <w:r w:rsidRPr="00D9739F">
        <w:rPr>
          <w:rFonts w:eastAsia="Times New Roman"/>
          <w:lang w:val="en-GB"/>
        </w:rPr>
        <w:t>MetSat</w:t>
      </w:r>
      <w:proofErr w:type="spellEnd"/>
      <w:r w:rsidRPr="00D9739F">
        <w:rPr>
          <w:rFonts w:eastAsia="Times New Roman"/>
          <w:lang w:val="en-GB"/>
        </w:rPr>
        <w:t xml:space="preserve"> over EESS is retained.</w:t>
      </w:r>
    </w:p>
    <w:p w14:paraId="7C162C2B" w14:textId="14645A09" w:rsidR="0041779A" w:rsidRPr="0041779A" w:rsidRDefault="0089738D" w:rsidP="006A3F8C">
      <w:pPr>
        <w:spacing w:before="240" w:after="100" w:afterAutospacing="1"/>
        <w:ind w:left="630"/>
        <w:rPr>
          <w:b/>
        </w:rPr>
      </w:pPr>
      <w:r>
        <w:rPr>
          <w:b/>
        </w:rPr>
        <w:t>(</w:t>
      </w:r>
      <w:r w:rsidR="0041779A" w:rsidRPr="001B264D">
        <w:rPr>
          <w:i/>
          <w:color w:val="000000" w:themeColor="text1"/>
        </w:rPr>
        <w:t>Editor’s note:</w:t>
      </w:r>
      <w:r w:rsidR="007F7343">
        <w:rPr>
          <w:i/>
          <w:color w:val="000000" w:themeColor="text1"/>
        </w:rPr>
        <w:t xml:space="preserve"> </w:t>
      </w:r>
      <w:hyperlink r:id="rId30" w:history="1">
        <w:r w:rsidR="006A3F8C" w:rsidRPr="006A3F8C">
          <w:rPr>
            <w:rStyle w:val="Hyperlink"/>
          </w:rPr>
          <w:t>APG19-2-INP-37</w:t>
        </w:r>
      </w:hyperlink>
      <w:r>
        <w:rPr>
          <w:rFonts w:eastAsia="Times New Roman"/>
          <w:b/>
          <w:bCs/>
          <w:color w:val="000000"/>
        </w:rPr>
        <w:t>)</w:t>
      </w:r>
    </w:p>
    <w:p w14:paraId="122F8B42" w14:textId="733EB2D3" w:rsidR="006A440B" w:rsidRPr="006A440B" w:rsidRDefault="00D75546" w:rsidP="00D9739F">
      <w:pPr>
        <w:spacing w:before="240" w:after="120"/>
        <w:jc w:val="both"/>
        <w:rPr>
          <w:b/>
          <w:lang w:val="en-NZ" w:eastAsia="ko-KR"/>
        </w:rPr>
      </w:pPr>
      <w:proofErr w:type="gramStart"/>
      <w:r>
        <w:rPr>
          <w:b/>
          <w:lang w:val="en-NZ" w:eastAsia="ko-KR"/>
        </w:rPr>
        <w:t xml:space="preserve">3.1.4 </w:t>
      </w:r>
      <w:r w:rsidR="006A3F8C">
        <w:rPr>
          <w:b/>
          <w:lang w:val="en-NZ" w:eastAsia="ko-KR"/>
        </w:rPr>
        <w:t xml:space="preserve"> </w:t>
      </w:r>
      <w:r w:rsidR="002740EA">
        <w:rPr>
          <w:b/>
          <w:lang w:val="en-NZ" w:eastAsia="ko-KR"/>
        </w:rPr>
        <w:t>China</w:t>
      </w:r>
      <w:proofErr w:type="gramEnd"/>
    </w:p>
    <w:p w14:paraId="65C6C540" w14:textId="2997969D" w:rsidR="006A440B" w:rsidRPr="006A440B" w:rsidRDefault="002740EA" w:rsidP="006A3F8C">
      <w:pPr>
        <w:spacing w:before="240"/>
        <w:ind w:left="630"/>
        <w:jc w:val="both"/>
      </w:pPr>
      <w:r>
        <w:t>China supports the studies on this agenda item carried out in ITU-R WP 7B</w:t>
      </w:r>
      <w:r>
        <w:rPr>
          <w:rFonts w:eastAsia="SimSun" w:hint="eastAsia"/>
          <w:lang w:eastAsia="zh-CN"/>
        </w:rPr>
        <w:t xml:space="preserve">. China supports the possible upgrading of the secondary </w:t>
      </w:r>
      <w:proofErr w:type="spellStart"/>
      <w:r>
        <w:rPr>
          <w:rFonts w:eastAsia="SimSun" w:hint="eastAsia"/>
          <w:lang w:eastAsia="zh-CN"/>
        </w:rPr>
        <w:t>MetSat</w:t>
      </w:r>
      <w:proofErr w:type="spellEnd"/>
      <w:r>
        <w:rPr>
          <w:rFonts w:eastAsia="SimSun" w:hint="eastAsia"/>
          <w:lang w:eastAsia="zh-CN"/>
        </w:rPr>
        <w:t xml:space="preserve"> (space-Earth) allocation to the primary status, and the addition of a primary EESS (space-Earth) allocation in the band 460-470 MHz, if ITU-R studies show that sharing and compatibility with existing primary services is feasible</w:t>
      </w:r>
      <w:r w:rsidR="00D9739F">
        <w:rPr>
          <w:rFonts w:eastAsia="SimSun"/>
          <w:lang w:eastAsia="zh-CN"/>
        </w:rPr>
        <w:t>.</w:t>
      </w:r>
    </w:p>
    <w:p w14:paraId="237BF3BC" w14:textId="48332FD2" w:rsidR="00D75546" w:rsidRPr="002740EA" w:rsidRDefault="0089738D" w:rsidP="006A3F8C">
      <w:pPr>
        <w:spacing w:before="240"/>
        <w:ind w:left="630"/>
        <w:jc w:val="both"/>
        <w:rPr>
          <w:b/>
        </w:rPr>
      </w:pPr>
      <w:r>
        <w:rPr>
          <w:b/>
        </w:rPr>
        <w:t>(</w:t>
      </w:r>
      <w:r w:rsidR="00D75546" w:rsidRPr="002740EA">
        <w:rPr>
          <w:i/>
          <w:color w:val="000000" w:themeColor="text1"/>
        </w:rPr>
        <w:t>Editor’s note:</w:t>
      </w:r>
      <w:r w:rsidR="006A3F8C">
        <w:rPr>
          <w:i/>
          <w:color w:val="000000" w:themeColor="text1"/>
        </w:rPr>
        <w:t xml:space="preserve"> </w:t>
      </w:r>
      <w:hyperlink r:id="rId31" w:history="1">
        <w:r w:rsidR="006A3F8C" w:rsidRPr="006A3F8C">
          <w:rPr>
            <w:rStyle w:val="Hyperlink"/>
          </w:rPr>
          <w:t>APG19-2-INP-52</w:t>
        </w:r>
      </w:hyperlink>
      <w:r>
        <w:rPr>
          <w:rFonts w:eastAsia="Times New Roman"/>
          <w:b/>
          <w:bCs/>
          <w:color w:val="000000"/>
        </w:rPr>
        <w:t>)</w:t>
      </w:r>
    </w:p>
    <w:p w14:paraId="531AEE21" w14:textId="77777777" w:rsidR="002E139F" w:rsidRDefault="002E139F" w:rsidP="00C4585B">
      <w:pPr>
        <w:spacing w:after="120"/>
        <w:jc w:val="both"/>
        <w:rPr>
          <w:b/>
          <w:color w:val="FF0000"/>
          <w:lang w:val="en-NZ" w:eastAsia="ko-KR"/>
        </w:rPr>
      </w:pPr>
    </w:p>
    <w:p w14:paraId="42585219" w14:textId="1045588D" w:rsidR="00205E27" w:rsidRPr="00974EA1" w:rsidRDefault="00205E27" w:rsidP="00205E27">
      <w:pPr>
        <w:spacing w:after="120"/>
        <w:jc w:val="both"/>
        <w:rPr>
          <w:b/>
          <w:lang w:val="en-NZ" w:eastAsia="ko-KR"/>
        </w:rPr>
      </w:pPr>
      <w:proofErr w:type="gramStart"/>
      <w:r w:rsidRPr="00974EA1">
        <w:rPr>
          <w:b/>
          <w:lang w:val="en-NZ" w:eastAsia="ko-KR"/>
        </w:rPr>
        <w:t>3.1.</w:t>
      </w:r>
      <w:r w:rsidR="002740EA">
        <w:rPr>
          <w:b/>
          <w:lang w:val="en-NZ" w:eastAsia="ko-KR"/>
        </w:rPr>
        <w:t>5</w:t>
      </w:r>
      <w:r w:rsidR="00D75546">
        <w:rPr>
          <w:b/>
          <w:lang w:val="en-NZ" w:eastAsia="ko-KR"/>
        </w:rPr>
        <w:t xml:space="preserve"> </w:t>
      </w:r>
      <w:r w:rsidR="00967E62">
        <w:rPr>
          <w:b/>
          <w:lang w:val="en-NZ" w:eastAsia="ko-KR"/>
        </w:rPr>
        <w:t xml:space="preserve"> </w:t>
      </w:r>
      <w:r w:rsidR="00C80021" w:rsidRPr="00974EA1">
        <w:rPr>
          <w:b/>
          <w:lang w:val="en-NZ" w:eastAsia="ko-KR"/>
        </w:rPr>
        <w:t>Japan</w:t>
      </w:r>
      <w:proofErr w:type="gramEnd"/>
    </w:p>
    <w:p w14:paraId="7EEE4E7A" w14:textId="77777777" w:rsidR="002740EA" w:rsidRPr="004E3715" w:rsidRDefault="002740EA" w:rsidP="00967E62">
      <w:pPr>
        <w:ind w:left="63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Japan is of the view that appropriate protection of existing services is necessary. Japan is also of the view that the proposed measures for the protection of the terrestrial services</w:t>
      </w:r>
      <w:r>
        <w:rPr>
          <w:rFonts w:eastAsiaTheme="minorEastAsia" w:hint="eastAsia"/>
          <w:lang w:eastAsia="ja-JP"/>
        </w:rPr>
        <w:t>, currently under study in the ITU-R,</w:t>
      </w:r>
      <w:r>
        <w:rPr>
          <w:rFonts w:eastAsiaTheme="minorEastAsia"/>
          <w:lang w:eastAsia="ja-JP"/>
        </w:rPr>
        <w:t xml:space="preserve"> should be considered carefully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in order to appropriately protect the terrestrial services, but at the same time, also allow practical use of the EESS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(space-to-Earth)</w:t>
      </w:r>
      <w:r w:rsidRPr="00D56DAA">
        <w:rPr>
          <w:rFonts w:eastAsiaTheme="minorEastAsia"/>
          <w:lang w:eastAsia="ja-JP"/>
        </w:rPr>
        <w:t>.</w:t>
      </w:r>
    </w:p>
    <w:p w14:paraId="34B82646" w14:textId="7F0379CF" w:rsidR="00C80021" w:rsidRDefault="0089738D" w:rsidP="00967E62">
      <w:pPr>
        <w:spacing w:before="240" w:after="120"/>
        <w:ind w:left="630"/>
        <w:jc w:val="both"/>
        <w:rPr>
          <w:rFonts w:eastAsiaTheme="minorEastAsia"/>
          <w:color w:val="000000" w:themeColor="text1"/>
          <w:lang w:eastAsia="ja-JP"/>
        </w:rPr>
      </w:pPr>
      <w:r>
        <w:rPr>
          <w:b/>
        </w:rPr>
        <w:t>(</w:t>
      </w:r>
      <w:r w:rsidR="00D75546" w:rsidRPr="00D75546">
        <w:rPr>
          <w:i/>
          <w:color w:val="000000" w:themeColor="text1"/>
        </w:rPr>
        <w:t>Editor’s note:</w:t>
      </w:r>
      <w:r w:rsidR="006A3F8C">
        <w:rPr>
          <w:i/>
          <w:color w:val="000000" w:themeColor="text1"/>
        </w:rPr>
        <w:t xml:space="preserve"> </w:t>
      </w:r>
      <w:hyperlink r:id="rId32" w:history="1">
        <w:r w:rsidR="006A3F8C" w:rsidRPr="006A3F8C">
          <w:rPr>
            <w:rStyle w:val="Hyperlink"/>
          </w:rPr>
          <w:t>APG19-2-INP-58</w:t>
        </w:r>
      </w:hyperlink>
      <w:r>
        <w:rPr>
          <w:rFonts w:eastAsia="Times New Roman"/>
          <w:b/>
          <w:bCs/>
          <w:color w:val="000000"/>
        </w:rPr>
        <w:t>)</w:t>
      </w:r>
    </w:p>
    <w:p w14:paraId="42FCA136" w14:textId="77777777" w:rsidR="00974EA1" w:rsidRDefault="00974EA1" w:rsidP="00C4585B">
      <w:pPr>
        <w:spacing w:after="120"/>
        <w:jc w:val="both"/>
        <w:rPr>
          <w:b/>
          <w:lang w:val="en-GB" w:eastAsia="ko-KR"/>
        </w:rPr>
      </w:pPr>
    </w:p>
    <w:p w14:paraId="0D996EBD" w14:textId="15B41CA6" w:rsidR="00C4585B" w:rsidRPr="00D9739F" w:rsidRDefault="00C255E9" w:rsidP="00C4585B">
      <w:pPr>
        <w:spacing w:after="120"/>
        <w:jc w:val="both"/>
        <w:rPr>
          <w:b/>
          <w:lang w:val="en-NZ"/>
        </w:rPr>
      </w:pPr>
      <w:proofErr w:type="gramStart"/>
      <w:r>
        <w:rPr>
          <w:b/>
          <w:lang w:val="en-NZ"/>
        </w:rPr>
        <w:t xml:space="preserve">3.2 </w:t>
      </w:r>
      <w:r w:rsidR="00C466B6">
        <w:rPr>
          <w:b/>
          <w:lang w:val="en-NZ"/>
        </w:rPr>
        <w:t xml:space="preserve"> </w:t>
      </w:r>
      <w:r w:rsidR="00C4585B" w:rsidRPr="00D9739F">
        <w:rPr>
          <w:b/>
          <w:lang w:val="en-NZ" w:eastAsia="ko-KR"/>
        </w:rPr>
        <w:t>Key</w:t>
      </w:r>
      <w:proofErr w:type="gramEnd"/>
      <w:r w:rsidR="00C4585B" w:rsidRPr="00D9739F">
        <w:rPr>
          <w:b/>
          <w:lang w:val="en-NZ"/>
        </w:rPr>
        <w:t xml:space="preserve"> </w:t>
      </w:r>
      <w:r w:rsidR="00C4585B" w:rsidRPr="00D9739F">
        <w:rPr>
          <w:b/>
          <w:lang w:val="en-NZ" w:eastAsia="ko-KR"/>
        </w:rPr>
        <w:t>points</w:t>
      </w:r>
      <w:r w:rsidR="00C4585B" w:rsidRPr="00D9739F">
        <w:rPr>
          <w:b/>
          <w:lang w:val="en-NZ"/>
        </w:rPr>
        <w:t xml:space="preserve"> raised during the meeting</w:t>
      </w:r>
    </w:p>
    <w:p w14:paraId="2D7B0ADC" w14:textId="1BE8F267" w:rsidR="00604CFB" w:rsidRPr="00775E33" w:rsidRDefault="00C702A1" w:rsidP="00F76623">
      <w:pPr>
        <w:pStyle w:val="ListParagraph"/>
        <w:numPr>
          <w:ilvl w:val="0"/>
          <w:numId w:val="10"/>
        </w:numPr>
        <w:rPr>
          <w:color w:val="000000" w:themeColor="text1"/>
          <w:lang w:val="en-NZ"/>
        </w:rPr>
      </w:pPr>
      <w:r w:rsidRPr="00775E33">
        <w:rPr>
          <w:color w:val="000000" w:themeColor="text1"/>
          <w:lang w:val="en-NZ"/>
        </w:rPr>
        <w:t>None</w:t>
      </w:r>
    </w:p>
    <w:p w14:paraId="6AE27B19" w14:textId="77777777" w:rsidR="00C4585B" w:rsidRPr="00C4585B" w:rsidRDefault="00C4585B" w:rsidP="00D93D55">
      <w:pPr>
        <w:spacing w:after="120"/>
        <w:jc w:val="both"/>
        <w:rPr>
          <w:b/>
          <w:color w:val="FF0000"/>
          <w:lang w:eastAsia="ko-KR"/>
        </w:rPr>
      </w:pPr>
    </w:p>
    <w:p w14:paraId="63818E16" w14:textId="77777777" w:rsidR="00C4585B" w:rsidRDefault="007A507E" w:rsidP="00D93D55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4</w:t>
      </w:r>
      <w:r w:rsidR="006A02CF">
        <w:rPr>
          <w:b/>
          <w:lang w:eastAsia="ko-KR"/>
        </w:rPr>
        <w:t>. APT Preliminary View</w:t>
      </w:r>
      <w:r w:rsidR="00C4585B">
        <w:rPr>
          <w:b/>
          <w:lang w:eastAsia="ko-KR"/>
        </w:rPr>
        <w:t>(</w:t>
      </w:r>
      <w:r w:rsidR="006A02CF">
        <w:rPr>
          <w:b/>
          <w:lang w:eastAsia="ko-KR"/>
        </w:rPr>
        <w:t>s</w:t>
      </w:r>
      <w:r w:rsidR="00C4585B">
        <w:rPr>
          <w:b/>
          <w:lang w:eastAsia="ko-KR"/>
        </w:rPr>
        <w:t>)</w:t>
      </w:r>
    </w:p>
    <w:p w14:paraId="0B50A4DF" w14:textId="137F1470" w:rsidR="00A856F4" w:rsidRPr="0022721D" w:rsidRDefault="007B0012" w:rsidP="0022721D">
      <w:pPr>
        <w:spacing w:before="240"/>
        <w:ind w:left="270"/>
        <w:jc w:val="both"/>
        <w:rPr>
          <w:sz w:val="23"/>
          <w:szCs w:val="23"/>
          <w:lang w:eastAsia="ko-KR"/>
        </w:rPr>
      </w:pPr>
      <w:r w:rsidRPr="0022721D">
        <w:rPr>
          <w:rFonts w:eastAsiaTheme="minorEastAsia" w:hint="eastAsia"/>
          <w:lang w:val="en-NZ" w:eastAsia="zh-CN"/>
        </w:rPr>
        <w:t xml:space="preserve">APT </w:t>
      </w:r>
      <w:r w:rsidR="009A31A5">
        <w:rPr>
          <w:rFonts w:eastAsiaTheme="minorEastAsia"/>
          <w:lang w:val="en-NZ" w:eastAsia="zh-CN"/>
        </w:rPr>
        <w:t>M</w:t>
      </w:r>
      <w:r w:rsidRPr="0022721D">
        <w:rPr>
          <w:rFonts w:eastAsiaTheme="minorEastAsia" w:hint="eastAsia"/>
          <w:lang w:val="en-NZ" w:eastAsia="zh-CN"/>
        </w:rPr>
        <w:t xml:space="preserve">embers </w:t>
      </w:r>
      <w:r w:rsidRPr="0022721D">
        <w:rPr>
          <w:lang w:val="en-NZ" w:eastAsia="ko-KR"/>
        </w:rPr>
        <w:t>support the ITU-R studies in accordance with Resolution</w:t>
      </w:r>
      <w:r w:rsidRPr="0022721D">
        <w:rPr>
          <w:b/>
          <w:lang w:val="en-NZ" w:eastAsia="ko-KR"/>
        </w:rPr>
        <w:t xml:space="preserve"> 76</w:t>
      </w:r>
      <w:r w:rsidR="00A856F4" w:rsidRPr="0022721D">
        <w:rPr>
          <w:b/>
          <w:lang w:val="en-NZ" w:eastAsia="ko-KR"/>
        </w:rPr>
        <w:t>6</w:t>
      </w:r>
      <w:r w:rsidRPr="0022721D">
        <w:rPr>
          <w:b/>
          <w:lang w:val="en-NZ" w:eastAsia="ko-KR"/>
        </w:rPr>
        <w:t xml:space="preserve"> (WRC-15)</w:t>
      </w:r>
      <w:r w:rsidRPr="0022721D">
        <w:rPr>
          <w:lang w:val="en-NZ" w:eastAsia="ko-KR"/>
        </w:rPr>
        <w:t xml:space="preserve"> to conduct and complete, in time for WRC-19, the necessary technical, operational and regulatory studies on </w:t>
      </w:r>
      <w:r w:rsidR="00A856F4" w:rsidRPr="0022721D">
        <w:t>the possibility to upgrade the secondary allocation of the meteorological-satellite service (space-to-Earth) to primary status and a primary allocation to the Earth exploration-satellite service (space-to-Earth) in the frequency band 460</w:t>
      </w:r>
      <w:r w:rsidR="00A856F4" w:rsidRPr="0022721D">
        <w:noBreakHyphen/>
        <w:t>470 </w:t>
      </w:r>
      <w:proofErr w:type="spellStart"/>
      <w:r w:rsidR="00A856F4" w:rsidRPr="0022721D">
        <w:t>MHz.</w:t>
      </w:r>
      <w:proofErr w:type="spellEnd"/>
      <w:r w:rsidR="0022721D" w:rsidRPr="0022721D">
        <w:t xml:space="preserve"> provided that the appropriate measures are taken to ensure the protection </w:t>
      </w:r>
      <w:r w:rsidR="00B21A0D">
        <w:t xml:space="preserve">of, </w:t>
      </w:r>
      <w:r w:rsidR="00DD621B">
        <w:t>and also not imposing additional constrain</w:t>
      </w:r>
      <w:r w:rsidR="003079F1">
        <w:t>t</w:t>
      </w:r>
      <w:r w:rsidR="00DD621B">
        <w:t xml:space="preserve">s </w:t>
      </w:r>
      <w:r w:rsidR="003079F1">
        <w:t xml:space="preserve">on </w:t>
      </w:r>
      <w:r w:rsidR="00DD621B">
        <w:t xml:space="preserve">the </w:t>
      </w:r>
      <w:r w:rsidR="0022721D" w:rsidRPr="0022721D">
        <w:t>existing primary services</w:t>
      </w:r>
      <w:r w:rsidR="003079F1">
        <w:t xml:space="preserve"> in the band 460-470 MHz</w:t>
      </w:r>
      <w:r w:rsidR="0022721D" w:rsidRPr="0022721D">
        <w:t xml:space="preserve"> and </w:t>
      </w:r>
      <w:r w:rsidR="00DD621B">
        <w:t xml:space="preserve">also in </w:t>
      </w:r>
      <w:r w:rsidR="0022721D" w:rsidRPr="0022721D">
        <w:t>the adjacent bands.</w:t>
      </w:r>
    </w:p>
    <w:p w14:paraId="5B2F1DF5" w14:textId="77777777" w:rsidR="006A02CF" w:rsidRDefault="006A02CF" w:rsidP="00C357AD">
      <w:pPr>
        <w:jc w:val="both"/>
        <w:rPr>
          <w:b/>
        </w:rPr>
      </w:pPr>
    </w:p>
    <w:p w14:paraId="399D381D" w14:textId="77777777" w:rsidR="00D36655" w:rsidRDefault="007A507E" w:rsidP="004305D3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5</w:t>
      </w:r>
      <w:r w:rsidR="006A02CF">
        <w:rPr>
          <w:b/>
          <w:lang w:eastAsia="ko-KR"/>
        </w:rPr>
        <w:t>. Other Views:</w:t>
      </w:r>
    </w:p>
    <w:p w14:paraId="584E79B6" w14:textId="1FABC8B0" w:rsidR="007766A1" w:rsidRPr="00775E33" w:rsidRDefault="00F0709A" w:rsidP="003446A2">
      <w:pPr>
        <w:ind w:left="708"/>
        <w:rPr>
          <w:color w:val="000000" w:themeColor="text1"/>
          <w:lang w:val="en-NZ"/>
        </w:rPr>
      </w:pPr>
      <w:r w:rsidRPr="00775E33">
        <w:rPr>
          <w:color w:val="000000" w:themeColor="text1"/>
          <w:lang w:val="en-NZ"/>
        </w:rPr>
        <w:lastRenderedPageBreak/>
        <w:t>None</w:t>
      </w:r>
    </w:p>
    <w:p w14:paraId="6A7B6D49" w14:textId="77777777" w:rsidR="000A0D53" w:rsidRPr="000A0D53" w:rsidRDefault="000A0D53" w:rsidP="000A0D53">
      <w:pPr>
        <w:ind w:left="708"/>
        <w:rPr>
          <w:color w:val="FF0000"/>
          <w:lang w:val="en-NZ"/>
        </w:rPr>
      </w:pPr>
    </w:p>
    <w:p w14:paraId="53E60EBC" w14:textId="675A8CB3" w:rsidR="006A02CF" w:rsidRPr="00C466B6" w:rsidRDefault="000A0D53" w:rsidP="00C357AD">
      <w:pPr>
        <w:jc w:val="both"/>
        <w:rPr>
          <w:b/>
        </w:rPr>
      </w:pPr>
      <w:r w:rsidRPr="00C466B6">
        <w:rPr>
          <w:b/>
        </w:rPr>
        <w:t xml:space="preserve">6. </w:t>
      </w:r>
      <w:r w:rsidRPr="00C466B6">
        <w:rPr>
          <w:b/>
          <w:lang w:val="en-NZ"/>
        </w:rPr>
        <w:t>Views from Other Organisations</w:t>
      </w:r>
    </w:p>
    <w:p w14:paraId="0789D910" w14:textId="77777777" w:rsidR="00D36655" w:rsidRDefault="00D36655" w:rsidP="009A4A6D">
      <w:pPr>
        <w:jc w:val="center"/>
      </w:pPr>
    </w:p>
    <w:p w14:paraId="604D187C" w14:textId="3135651E" w:rsidR="0038745F" w:rsidRDefault="0038745F" w:rsidP="0038745F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6.1 </w:t>
      </w:r>
      <w:r w:rsidR="00C255E9">
        <w:rPr>
          <w:b/>
          <w:lang w:val="en-NZ" w:eastAsia="ko-KR"/>
        </w:rPr>
        <w:t>ICAO</w:t>
      </w:r>
    </w:p>
    <w:p w14:paraId="393FED16" w14:textId="3F67F2AE" w:rsidR="00782050" w:rsidRPr="00974EA1" w:rsidRDefault="00782050" w:rsidP="009775C5">
      <w:pPr>
        <w:spacing w:after="120"/>
        <w:ind w:left="450"/>
        <w:jc w:val="both"/>
        <w:rPr>
          <w:b/>
          <w:lang w:val="en-NZ" w:eastAsia="ko-KR"/>
        </w:rPr>
      </w:pPr>
      <w:r>
        <w:rPr>
          <w:rFonts w:eastAsia="Batang"/>
          <w:b/>
          <w:bCs/>
        </w:rPr>
        <w:t>Preliminary View</w:t>
      </w:r>
    </w:p>
    <w:p w14:paraId="51433812" w14:textId="77777777" w:rsidR="00C255E9" w:rsidRPr="00F43A97" w:rsidRDefault="00C255E9" w:rsidP="009775C5">
      <w:pPr>
        <w:ind w:left="450"/>
        <w:rPr>
          <w:color w:val="000000" w:themeColor="text1"/>
          <w:szCs w:val="18"/>
        </w:rPr>
      </w:pPr>
      <w:r w:rsidRPr="00F43A97">
        <w:rPr>
          <w:color w:val="000000" w:themeColor="text1"/>
          <w:szCs w:val="18"/>
        </w:rPr>
        <w:t>No impact on aeronautical services has been identified from WRC-</w:t>
      </w:r>
      <w:r w:rsidRPr="00F43A97">
        <w:rPr>
          <w:color w:val="000000" w:themeColor="text1"/>
        </w:rPr>
        <w:t>19</w:t>
      </w:r>
      <w:r w:rsidRPr="00F43A97">
        <w:rPr>
          <w:color w:val="000000" w:themeColor="text1"/>
          <w:szCs w:val="18"/>
        </w:rPr>
        <w:t xml:space="preserve"> Agenda Items</w:t>
      </w:r>
      <w:r w:rsidRPr="00F43A97">
        <w:rPr>
          <w:color w:val="000000" w:themeColor="text1"/>
        </w:rPr>
        <w:t> </w:t>
      </w:r>
      <w:r w:rsidRPr="00F43A97">
        <w:rPr>
          <w:color w:val="000000" w:themeColor="text1"/>
          <w:szCs w:val="18"/>
        </w:rPr>
        <w:t>1.1</w:t>
      </w:r>
      <w:r w:rsidRPr="00F43A97">
        <w:rPr>
          <w:bCs/>
          <w:color w:val="000000" w:themeColor="text1"/>
        </w:rPr>
        <w:t xml:space="preserve">, </w:t>
      </w:r>
      <w:r w:rsidRPr="00F43A97">
        <w:rPr>
          <w:color w:val="000000" w:themeColor="text1"/>
        </w:rPr>
        <w:t>1.2</w:t>
      </w:r>
      <w:r w:rsidRPr="00F43A97">
        <w:rPr>
          <w:bCs/>
          <w:color w:val="000000" w:themeColor="text1"/>
          <w:szCs w:val="18"/>
        </w:rPr>
        <w:t xml:space="preserve">, </w:t>
      </w:r>
      <w:r w:rsidRPr="00A25036">
        <w:rPr>
          <w:color w:val="000000" w:themeColor="text1"/>
          <w:szCs w:val="18"/>
        </w:rPr>
        <w:t>1.3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>1.</w:t>
      </w:r>
      <w:r w:rsidRPr="00F43A97">
        <w:rPr>
          <w:color w:val="000000" w:themeColor="text1"/>
        </w:rPr>
        <w:t>4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>1.5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>1.</w:t>
      </w:r>
      <w:r w:rsidRPr="00F43A97">
        <w:rPr>
          <w:color w:val="000000" w:themeColor="text1"/>
        </w:rPr>
        <w:t>6</w:t>
      </w:r>
      <w:r w:rsidRPr="00F43A97">
        <w:rPr>
          <w:color w:val="000000" w:themeColor="text1"/>
          <w:szCs w:val="18"/>
        </w:rPr>
        <w:t xml:space="preserve">, </w:t>
      </w:r>
      <w:r w:rsidRPr="00F43A97">
        <w:rPr>
          <w:bCs/>
          <w:color w:val="000000" w:themeColor="text1"/>
          <w:szCs w:val="18"/>
        </w:rPr>
        <w:t>1.15, 2,</w:t>
      </w:r>
      <w:r w:rsidRPr="00F43A97">
        <w:rPr>
          <w:color w:val="000000" w:themeColor="text1"/>
          <w:szCs w:val="18"/>
        </w:rPr>
        <w:t xml:space="preserve"> 3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>5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>6</w:t>
      </w:r>
      <w:r w:rsidRPr="00F43A97">
        <w:rPr>
          <w:bCs/>
          <w:color w:val="000000" w:themeColor="text1"/>
          <w:szCs w:val="18"/>
        </w:rPr>
        <w:t xml:space="preserve">, </w:t>
      </w:r>
      <w:r w:rsidRPr="00F43A97">
        <w:rPr>
          <w:color w:val="000000" w:themeColor="text1"/>
          <w:szCs w:val="18"/>
        </w:rPr>
        <w:t xml:space="preserve">7, 9.1 (Issue 9.1.1), 9.1 (Issue 9.1.2), 9.1 (Issue 9.1.5), </w:t>
      </w:r>
      <w:r w:rsidRPr="00F43A97">
        <w:rPr>
          <w:color w:val="000000" w:themeColor="text1"/>
        </w:rPr>
        <w:t>9.2 and 9.3</w:t>
      </w:r>
      <w:r w:rsidRPr="00F43A97">
        <w:rPr>
          <w:b/>
          <w:color w:val="000000" w:themeColor="text1"/>
        </w:rPr>
        <w:t xml:space="preserve"> </w:t>
      </w:r>
      <w:r w:rsidRPr="00F43A97">
        <w:rPr>
          <w:color w:val="000000" w:themeColor="text1"/>
          <w:szCs w:val="18"/>
        </w:rPr>
        <w:t xml:space="preserve">which are therefore not addressed in </w:t>
      </w:r>
      <w:r w:rsidRPr="00F43A97">
        <w:rPr>
          <w:color w:val="000000" w:themeColor="text1"/>
        </w:rPr>
        <w:t xml:space="preserve">this </w:t>
      </w:r>
      <w:r w:rsidRPr="00F43A97">
        <w:rPr>
          <w:color w:val="000000" w:themeColor="text1"/>
          <w:szCs w:val="18"/>
        </w:rPr>
        <w:t>position.</w:t>
      </w:r>
    </w:p>
    <w:p w14:paraId="6CEDE13F" w14:textId="1157B0A7" w:rsidR="0038745F" w:rsidRDefault="004E525A" w:rsidP="009775C5">
      <w:pPr>
        <w:spacing w:before="240"/>
        <w:ind w:left="450"/>
        <w:rPr>
          <w:rFonts w:eastAsia="Times New Roman"/>
        </w:rPr>
      </w:pPr>
      <w:r>
        <w:rPr>
          <w:i/>
          <w:color w:val="0000FF"/>
        </w:rPr>
        <w:t>(</w:t>
      </w:r>
      <w:r w:rsidR="0038745F" w:rsidRPr="005532CF">
        <w:rPr>
          <w:i/>
          <w:color w:val="000000" w:themeColor="text1"/>
        </w:rPr>
        <w:t>Editor’s note:</w:t>
      </w:r>
      <w:r w:rsidR="00C255E9" w:rsidRPr="00C255E9">
        <w:rPr>
          <w:rFonts w:eastAsia="Times New Roman"/>
          <w:b/>
          <w:bCs/>
          <w:color w:val="000000"/>
        </w:rPr>
        <w:t xml:space="preserve"> </w:t>
      </w:r>
      <w:hyperlink r:id="rId33" w:history="1">
        <w:r w:rsidR="00C255E9" w:rsidRPr="00C255E9">
          <w:rPr>
            <w:rStyle w:val="Hyperlink"/>
            <w:rFonts w:eastAsia="Times New Roman"/>
            <w:b/>
            <w:bCs/>
          </w:rPr>
          <w:t>APG19-2/INF-02</w:t>
        </w:r>
      </w:hyperlink>
      <w:r>
        <w:rPr>
          <w:rFonts w:eastAsia="Times New Roman"/>
          <w:bCs/>
          <w:i/>
          <w:color w:val="000000"/>
        </w:rPr>
        <w:t>)</w:t>
      </w:r>
    </w:p>
    <w:p w14:paraId="2C12D55E" w14:textId="2A15BF74" w:rsidR="00516C66" w:rsidRPr="009D7ABC" w:rsidRDefault="00516C66" w:rsidP="0038745F">
      <w:pPr>
        <w:ind w:left="284" w:hanging="284"/>
        <w:rPr>
          <w:color w:val="0000FF"/>
        </w:rPr>
      </w:pPr>
    </w:p>
    <w:p w14:paraId="7895849E" w14:textId="0FB4E0D0" w:rsidR="00386031" w:rsidRPr="005A26CA" w:rsidRDefault="00386031" w:rsidP="00045E45">
      <w:pPr>
        <w:spacing w:before="240" w:after="240"/>
        <w:jc w:val="both"/>
        <w:rPr>
          <w:b/>
          <w:bCs/>
          <w:color w:val="000000" w:themeColor="text1"/>
        </w:rPr>
      </w:pPr>
      <w:bookmarkStart w:id="0" w:name="_GoBack"/>
      <w:bookmarkEnd w:id="0"/>
      <w:r w:rsidRPr="005A26CA">
        <w:rPr>
          <w:b/>
          <w:bCs/>
          <w:color w:val="000000" w:themeColor="text1"/>
        </w:rPr>
        <w:t>6.</w:t>
      </w:r>
      <w:r w:rsidR="005A26CA">
        <w:rPr>
          <w:b/>
          <w:bCs/>
          <w:color w:val="000000" w:themeColor="text1"/>
        </w:rPr>
        <w:t>3</w:t>
      </w:r>
      <w:r w:rsidRPr="005A26CA">
        <w:rPr>
          <w:b/>
          <w:bCs/>
          <w:color w:val="000000" w:themeColor="text1"/>
        </w:rPr>
        <w:t xml:space="preserve"> CITEL</w:t>
      </w:r>
    </w:p>
    <w:p w14:paraId="2FCCC58C" w14:textId="77777777" w:rsidR="00386031" w:rsidRDefault="00386031" w:rsidP="009775C5">
      <w:pPr>
        <w:spacing w:after="120"/>
        <w:ind w:left="36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Preliminary View</w:t>
      </w:r>
    </w:p>
    <w:p w14:paraId="02B6B255" w14:textId="7FF91B6D" w:rsidR="00611AAE" w:rsidRPr="00611AAE" w:rsidRDefault="00611AAE" w:rsidP="009775C5">
      <w:pPr>
        <w:pStyle w:val="ListParagraph"/>
        <w:numPr>
          <w:ilvl w:val="0"/>
          <w:numId w:val="37"/>
        </w:numPr>
        <w:spacing w:after="120"/>
        <w:ind w:left="360" w:firstLine="0"/>
        <w:jc w:val="both"/>
        <w:rPr>
          <w:lang w:val="en-NZ" w:eastAsia="ko-KR"/>
        </w:rPr>
      </w:pPr>
      <w:r w:rsidRPr="00611AAE">
        <w:rPr>
          <w:lang w:val="en-NZ" w:eastAsia="ko-KR"/>
        </w:rPr>
        <w:t>TBD</w:t>
      </w:r>
      <w:r>
        <w:rPr>
          <w:lang w:val="en-NZ" w:eastAsia="ko-KR"/>
        </w:rPr>
        <w:t>.</w:t>
      </w:r>
    </w:p>
    <w:p w14:paraId="4329DF37" w14:textId="1D03ADE1" w:rsidR="00611AAE" w:rsidRPr="00611AAE" w:rsidRDefault="00611AAE" w:rsidP="009775C5">
      <w:pPr>
        <w:spacing w:after="120"/>
        <w:ind w:left="360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Issues:</w:t>
      </w:r>
    </w:p>
    <w:p w14:paraId="1B43EAA2" w14:textId="1B9FD2D0" w:rsidR="00611AAE" w:rsidRPr="00611AAE" w:rsidRDefault="00611AAE" w:rsidP="009775C5">
      <w:pPr>
        <w:spacing w:after="120"/>
        <w:ind w:left="360"/>
        <w:jc w:val="both"/>
        <w:rPr>
          <w:rFonts w:eastAsia="Batang"/>
          <w:bCs/>
        </w:rPr>
      </w:pPr>
      <w:r w:rsidRPr="00611AAE">
        <w:rPr>
          <w:rFonts w:eastAsia="Batang"/>
          <w:b/>
          <w:bCs/>
        </w:rPr>
        <w:t xml:space="preserve">‐ </w:t>
      </w:r>
      <w:r w:rsidR="00D903E0">
        <w:rPr>
          <w:rFonts w:eastAsia="Batang"/>
          <w:bCs/>
        </w:rPr>
        <w:t xml:space="preserve">An upgrade of the </w:t>
      </w:r>
      <w:proofErr w:type="spellStart"/>
      <w:r w:rsidR="00D903E0">
        <w:rPr>
          <w:rFonts w:eastAsia="Batang"/>
          <w:bCs/>
        </w:rPr>
        <w:t>MetS</w:t>
      </w:r>
      <w:r w:rsidRPr="00611AAE">
        <w:rPr>
          <w:rFonts w:eastAsia="Batang"/>
          <w:bCs/>
        </w:rPr>
        <w:t>at</w:t>
      </w:r>
      <w:proofErr w:type="spellEnd"/>
      <w:r w:rsidRPr="00611AAE">
        <w:rPr>
          <w:rFonts w:eastAsia="Batang"/>
          <w:bCs/>
        </w:rPr>
        <w:t xml:space="preserve"> and EESS allocation to primary status</w:t>
      </w:r>
      <w:r>
        <w:rPr>
          <w:rFonts w:eastAsia="Batang"/>
          <w:bCs/>
        </w:rPr>
        <w:t xml:space="preserve"> </w:t>
      </w:r>
      <w:r w:rsidRPr="00611AAE">
        <w:rPr>
          <w:rFonts w:eastAsia="Batang"/>
          <w:bCs/>
        </w:rPr>
        <w:t>would provide regulatory certainty for data collection systems.</w:t>
      </w:r>
    </w:p>
    <w:p w14:paraId="441A6D97" w14:textId="17B21023" w:rsidR="00611AAE" w:rsidRPr="00611AAE" w:rsidRDefault="00611AAE" w:rsidP="009775C5">
      <w:pPr>
        <w:spacing w:after="120"/>
        <w:ind w:left="360"/>
        <w:jc w:val="both"/>
        <w:rPr>
          <w:rFonts w:eastAsia="Batang"/>
          <w:bCs/>
        </w:rPr>
      </w:pPr>
      <w:r w:rsidRPr="00611AAE">
        <w:rPr>
          <w:rFonts w:eastAsia="Batang"/>
          <w:bCs/>
        </w:rPr>
        <w:t>‐ Measures need to be taken to ensure protection of and that no</w:t>
      </w:r>
      <w:r>
        <w:rPr>
          <w:rFonts w:eastAsia="Batang"/>
          <w:bCs/>
        </w:rPr>
        <w:t xml:space="preserve"> </w:t>
      </w:r>
      <w:r w:rsidRPr="00611AAE">
        <w:rPr>
          <w:rFonts w:eastAsia="Batang"/>
          <w:bCs/>
        </w:rPr>
        <w:t>constraints are put on, fixed and mobile services, including the</w:t>
      </w:r>
      <w:r>
        <w:rPr>
          <w:rFonts w:eastAsia="Batang"/>
          <w:bCs/>
        </w:rPr>
        <w:t xml:space="preserve"> </w:t>
      </w:r>
      <w:r w:rsidRPr="00611AAE">
        <w:rPr>
          <w:rFonts w:eastAsia="Batang"/>
          <w:bCs/>
        </w:rPr>
        <w:t>use of the band for IMT.</w:t>
      </w:r>
    </w:p>
    <w:p w14:paraId="275E8C89" w14:textId="48A1FD81" w:rsidR="00386031" w:rsidRDefault="004E525A" w:rsidP="009775C5">
      <w:pPr>
        <w:spacing w:before="240"/>
        <w:ind w:left="360"/>
        <w:rPr>
          <w:rFonts w:eastAsia="Times New Roman"/>
        </w:rPr>
      </w:pPr>
      <w:r>
        <w:rPr>
          <w:i/>
          <w:color w:val="0000FF"/>
        </w:rPr>
        <w:t>(</w:t>
      </w:r>
      <w:r w:rsidR="00386031" w:rsidRPr="005532CF">
        <w:rPr>
          <w:i/>
          <w:color w:val="000000" w:themeColor="text1"/>
        </w:rPr>
        <w:t>Editor’s note</w:t>
      </w:r>
      <w:r w:rsidR="005A26CA">
        <w:rPr>
          <w:i/>
          <w:color w:val="000000" w:themeColor="text1"/>
        </w:rPr>
        <w:t xml:space="preserve">: </w:t>
      </w:r>
      <w:hyperlink r:id="rId34" w:history="1">
        <w:r w:rsidR="005A26CA" w:rsidRPr="005A26CA">
          <w:rPr>
            <w:rStyle w:val="Hyperlink"/>
          </w:rPr>
          <w:t>APG19-2/INF-04</w:t>
        </w:r>
      </w:hyperlink>
      <w:r>
        <w:rPr>
          <w:color w:val="000000" w:themeColor="text1"/>
        </w:rPr>
        <w:t>)</w:t>
      </w:r>
    </w:p>
    <w:p w14:paraId="2C74E046" w14:textId="77777777" w:rsidR="00386031" w:rsidRDefault="00386031" w:rsidP="00F51322">
      <w:pPr>
        <w:jc w:val="both"/>
        <w:rPr>
          <w:b/>
          <w:bCs/>
          <w:color w:val="FF0000"/>
        </w:rPr>
      </w:pPr>
    </w:p>
    <w:p w14:paraId="39C13D55" w14:textId="4F6F2D3B" w:rsidR="00782050" w:rsidRPr="005A26CA" w:rsidRDefault="00782050" w:rsidP="00782050">
      <w:pPr>
        <w:jc w:val="both"/>
        <w:rPr>
          <w:b/>
          <w:bCs/>
          <w:color w:val="000000" w:themeColor="text1"/>
        </w:rPr>
      </w:pPr>
      <w:proofErr w:type="gramStart"/>
      <w:r w:rsidRPr="005A26CA">
        <w:rPr>
          <w:b/>
          <w:bCs/>
          <w:color w:val="000000" w:themeColor="text1"/>
        </w:rPr>
        <w:t xml:space="preserve">6.4  </w:t>
      </w:r>
      <w:r w:rsidR="0076135F" w:rsidRPr="005A26CA">
        <w:rPr>
          <w:b/>
          <w:bCs/>
          <w:color w:val="000000" w:themeColor="text1"/>
        </w:rPr>
        <w:t>RCC</w:t>
      </w:r>
      <w:proofErr w:type="gramEnd"/>
    </w:p>
    <w:p w14:paraId="0B4F1639" w14:textId="77777777" w:rsidR="00782050" w:rsidRDefault="00782050" w:rsidP="00782050">
      <w:pPr>
        <w:jc w:val="both"/>
        <w:rPr>
          <w:b/>
          <w:bCs/>
          <w:color w:val="FF0000"/>
        </w:rPr>
      </w:pPr>
    </w:p>
    <w:p w14:paraId="344C6BD4" w14:textId="210BFF5B" w:rsidR="00782050" w:rsidRPr="00782050" w:rsidRDefault="00782050" w:rsidP="009775C5">
      <w:pPr>
        <w:ind w:left="450"/>
        <w:jc w:val="both"/>
      </w:pPr>
      <w:r w:rsidRPr="00F51322">
        <w:rPr>
          <w:b/>
          <w:bCs/>
        </w:rPr>
        <w:t xml:space="preserve">Preliminary </w:t>
      </w:r>
      <w:r w:rsidRPr="00FC5F15">
        <w:rPr>
          <w:rFonts w:eastAsia="Batang"/>
          <w:b/>
          <w:bCs/>
        </w:rPr>
        <w:t>View</w:t>
      </w:r>
    </w:p>
    <w:p w14:paraId="560F7DF2" w14:textId="77777777" w:rsidR="00611AAE" w:rsidRPr="0014760A" w:rsidRDefault="00611AAE" w:rsidP="009775C5">
      <w:pPr>
        <w:pStyle w:val="ListParagraph"/>
        <w:numPr>
          <w:ilvl w:val="0"/>
          <w:numId w:val="37"/>
        </w:numPr>
        <w:ind w:left="450"/>
        <w:jc w:val="both"/>
      </w:pPr>
      <w:r w:rsidRPr="0014760A">
        <w:t xml:space="preserve">The RCC Administrations consider that there </w:t>
      </w:r>
      <w:r w:rsidRPr="003D2438">
        <w:t>is a need to harmonize frequency</w:t>
      </w:r>
      <w:r w:rsidRPr="0014760A">
        <w:t xml:space="preserve"> allocations used by data collection systems (DCS) in the meteorological-satellite service and the Earth exploration-satellite service.</w:t>
      </w:r>
    </w:p>
    <w:p w14:paraId="2B5F8AE0" w14:textId="77777777" w:rsidR="00611AAE" w:rsidRDefault="00611AAE" w:rsidP="009775C5">
      <w:pPr>
        <w:pStyle w:val="ListParagraph"/>
        <w:numPr>
          <w:ilvl w:val="0"/>
          <w:numId w:val="37"/>
        </w:numPr>
        <w:ind w:left="450"/>
        <w:jc w:val="both"/>
      </w:pPr>
      <w:r w:rsidRPr="0014760A">
        <w:t>However upgrading the secondary allocation to the meteorological-satellite service (space-to-Earth) to a primary status and a primary allocation to the Earth exploration-satellite service (space-to-Earth) in the frequency band 460-470 MHz are</w:t>
      </w:r>
      <w:r>
        <w:t xml:space="preserve"> possible </w:t>
      </w:r>
      <w:r w:rsidRPr="00E31BAE">
        <w:t>under the following conditions:</w:t>
      </w:r>
    </w:p>
    <w:p w14:paraId="0B5F84AD" w14:textId="221DBE8F" w:rsidR="00611AAE" w:rsidRDefault="00611AAE" w:rsidP="009775C5">
      <w:pPr>
        <w:pStyle w:val="ListParagraph"/>
        <w:numPr>
          <w:ilvl w:val="1"/>
          <w:numId w:val="41"/>
        </w:numPr>
        <w:ind w:left="720" w:hanging="270"/>
        <w:jc w:val="both"/>
      </w:pPr>
      <w:r>
        <w:t xml:space="preserve">The </w:t>
      </w:r>
      <w:r w:rsidRPr="009051F1">
        <w:t>protection of the terrestrial services to which the frequency band 460-470 MHz is allocated on a primary basis;</w:t>
      </w:r>
    </w:p>
    <w:p w14:paraId="6A719765" w14:textId="0856EEC8" w:rsidR="00611AAE" w:rsidRDefault="00611AAE" w:rsidP="009775C5">
      <w:pPr>
        <w:pStyle w:val="ListParagraph"/>
        <w:numPr>
          <w:ilvl w:val="1"/>
          <w:numId w:val="41"/>
        </w:numPr>
        <w:ind w:left="720" w:hanging="270"/>
        <w:jc w:val="both"/>
      </w:pPr>
      <w:r>
        <w:t>T</w:t>
      </w:r>
      <w:r w:rsidRPr="009051F1">
        <w:t xml:space="preserve">he proposed measures for the protection of the terrestrial services will not impose additional </w:t>
      </w:r>
      <w:r w:rsidRPr="0014760A">
        <w:t>constraints</w:t>
      </w:r>
      <w:r w:rsidRPr="009051F1">
        <w:t xml:space="preserve"> on the existing satellite systems and the networks operated within meteorological-satellite service and the Earth exploration-satellite service;</w:t>
      </w:r>
    </w:p>
    <w:p w14:paraId="22C9E086" w14:textId="1B929E35" w:rsidR="00611AAE" w:rsidRPr="0014760A" w:rsidRDefault="00611AAE" w:rsidP="009775C5">
      <w:pPr>
        <w:pStyle w:val="ListParagraph"/>
        <w:numPr>
          <w:ilvl w:val="1"/>
          <w:numId w:val="41"/>
        </w:numPr>
        <w:ind w:left="720" w:hanging="270"/>
        <w:jc w:val="both"/>
      </w:pPr>
      <w:r>
        <w:t>M</w:t>
      </w:r>
      <w:r w:rsidRPr="007312FC">
        <w:t>aintaining priority of the meteorological-satellite service over the Earth exploration-satellite service.</w:t>
      </w:r>
    </w:p>
    <w:p w14:paraId="7A05D0F2" w14:textId="217C6558" w:rsidR="005A26CA" w:rsidRDefault="004E525A" w:rsidP="009775C5">
      <w:pPr>
        <w:spacing w:before="240"/>
        <w:ind w:left="450"/>
        <w:rPr>
          <w:b/>
          <w:bCs/>
          <w:color w:val="FF0000"/>
        </w:rPr>
      </w:pPr>
      <w:r>
        <w:rPr>
          <w:i/>
          <w:color w:val="0000FF"/>
        </w:rPr>
        <w:t>(</w:t>
      </w:r>
      <w:r w:rsidR="005A26CA" w:rsidRPr="005532CF">
        <w:rPr>
          <w:i/>
          <w:color w:val="000000" w:themeColor="text1"/>
        </w:rPr>
        <w:t>Editor’s note</w:t>
      </w:r>
      <w:r w:rsidR="005A26CA">
        <w:rPr>
          <w:i/>
          <w:color w:val="000000" w:themeColor="text1"/>
        </w:rPr>
        <w:t xml:space="preserve">: </w:t>
      </w:r>
      <w:hyperlink r:id="rId35" w:history="1">
        <w:r w:rsidR="005A26CA" w:rsidRPr="005A26CA">
          <w:rPr>
            <w:rStyle w:val="Hyperlink"/>
          </w:rPr>
          <w:t>APG19-2-INF-05</w:t>
        </w:r>
      </w:hyperlink>
      <w:r>
        <w:rPr>
          <w:b/>
          <w:bCs/>
          <w:color w:val="000000" w:themeColor="text1"/>
        </w:rPr>
        <w:t>)</w:t>
      </w:r>
    </w:p>
    <w:p w14:paraId="350A4D45" w14:textId="77777777" w:rsidR="000316C5" w:rsidRPr="000316C5" w:rsidRDefault="000316C5" w:rsidP="000316C5">
      <w:pPr>
        <w:jc w:val="both"/>
        <w:rPr>
          <w:b/>
        </w:rPr>
      </w:pPr>
    </w:p>
    <w:p w14:paraId="4A13E9FF" w14:textId="4418D51C" w:rsidR="005A26CA" w:rsidRDefault="005A26CA" w:rsidP="005A26CA">
      <w:pPr>
        <w:jc w:val="both"/>
        <w:rPr>
          <w:rFonts w:eastAsiaTheme="minorEastAsia"/>
          <w:b/>
          <w:lang w:eastAsia="ja-JP"/>
        </w:rPr>
      </w:pPr>
      <w:proofErr w:type="gramStart"/>
      <w:r>
        <w:rPr>
          <w:rFonts w:eastAsiaTheme="minorEastAsia"/>
          <w:b/>
          <w:lang w:eastAsia="ja-JP"/>
        </w:rPr>
        <w:t>6.6  ATU</w:t>
      </w:r>
      <w:proofErr w:type="gramEnd"/>
      <w:r w:rsidRPr="002E3046">
        <w:rPr>
          <w:rFonts w:eastAsiaTheme="minorEastAsia"/>
          <w:b/>
          <w:lang w:eastAsia="ja-JP"/>
        </w:rPr>
        <w:t xml:space="preserve"> </w:t>
      </w:r>
    </w:p>
    <w:p w14:paraId="297ED725" w14:textId="77777777" w:rsidR="005A26CA" w:rsidRDefault="005A26CA" w:rsidP="00F51322">
      <w:pPr>
        <w:jc w:val="both"/>
        <w:rPr>
          <w:b/>
          <w:bCs/>
        </w:rPr>
      </w:pPr>
    </w:p>
    <w:p w14:paraId="5E07A6E5" w14:textId="77777777" w:rsidR="005A26CA" w:rsidRDefault="005A26CA" w:rsidP="009775C5">
      <w:pPr>
        <w:ind w:left="450"/>
        <w:jc w:val="both"/>
        <w:rPr>
          <w:b/>
        </w:rPr>
      </w:pPr>
      <w:r w:rsidRPr="00F51322">
        <w:rPr>
          <w:b/>
          <w:bCs/>
        </w:rPr>
        <w:t xml:space="preserve">Preliminary </w:t>
      </w:r>
      <w:r w:rsidRPr="00FC5F15">
        <w:rPr>
          <w:rFonts w:eastAsia="Batang"/>
          <w:b/>
          <w:bCs/>
        </w:rPr>
        <w:t>View</w:t>
      </w:r>
      <w:r w:rsidRPr="002E3046">
        <w:rPr>
          <w:b/>
        </w:rPr>
        <w:t xml:space="preserve"> </w:t>
      </w:r>
    </w:p>
    <w:p w14:paraId="159C29E2" w14:textId="029EB0EC" w:rsidR="00611AAE" w:rsidRDefault="00611AAE" w:rsidP="009775C5">
      <w:pPr>
        <w:spacing w:before="240"/>
        <w:ind w:left="450"/>
        <w:rPr>
          <w:i/>
          <w:color w:val="0000FF"/>
        </w:rPr>
      </w:pPr>
      <w:r>
        <w:t>No</w:t>
      </w:r>
      <w:r w:rsidRPr="00BF10B7">
        <w:t xml:space="preserve"> preliminary position on this agenda item</w:t>
      </w:r>
      <w:r>
        <w:t xml:space="preserve"> yet</w:t>
      </w:r>
      <w:r>
        <w:rPr>
          <w:i/>
          <w:color w:val="0000FF"/>
        </w:rPr>
        <w:t>.</w:t>
      </w:r>
    </w:p>
    <w:p w14:paraId="2BF97D46" w14:textId="5680E4E6" w:rsidR="005A26CA" w:rsidRDefault="004E525A" w:rsidP="009775C5">
      <w:pPr>
        <w:spacing w:before="240"/>
        <w:ind w:left="450"/>
        <w:rPr>
          <w:b/>
          <w:bCs/>
          <w:color w:val="FF0000"/>
        </w:rPr>
      </w:pPr>
      <w:r>
        <w:rPr>
          <w:i/>
          <w:color w:val="0000FF"/>
        </w:rPr>
        <w:lastRenderedPageBreak/>
        <w:t>(</w:t>
      </w:r>
      <w:r w:rsidR="005A26CA" w:rsidRPr="005532CF">
        <w:rPr>
          <w:i/>
          <w:color w:val="000000" w:themeColor="text1"/>
        </w:rPr>
        <w:t>Editor’s note</w:t>
      </w:r>
      <w:r w:rsidR="005A26CA">
        <w:rPr>
          <w:i/>
          <w:color w:val="000000" w:themeColor="text1"/>
        </w:rPr>
        <w:t xml:space="preserve">: </w:t>
      </w:r>
      <w:hyperlink r:id="rId36" w:history="1">
        <w:r w:rsidR="005A26CA" w:rsidRPr="005A26CA">
          <w:rPr>
            <w:rStyle w:val="Hyperlink"/>
          </w:rPr>
          <w:t>APG19-2-INF-07</w:t>
        </w:r>
      </w:hyperlink>
      <w:r>
        <w:rPr>
          <w:i/>
          <w:color w:val="000000" w:themeColor="text1"/>
        </w:rPr>
        <w:t>)</w:t>
      </w:r>
    </w:p>
    <w:p w14:paraId="02106589" w14:textId="77777777" w:rsidR="005A26CA" w:rsidRDefault="005A26CA" w:rsidP="009775C5">
      <w:pPr>
        <w:ind w:left="450"/>
        <w:jc w:val="both"/>
        <w:rPr>
          <w:b/>
          <w:bCs/>
        </w:rPr>
      </w:pPr>
    </w:p>
    <w:p w14:paraId="65AFFB38" w14:textId="79D2C771" w:rsidR="005A26CA" w:rsidRDefault="005A26CA" w:rsidP="005A26CA">
      <w:pPr>
        <w:jc w:val="both"/>
        <w:rPr>
          <w:rFonts w:eastAsiaTheme="minorEastAsia"/>
          <w:b/>
          <w:lang w:eastAsia="ja-JP"/>
        </w:rPr>
      </w:pPr>
      <w:proofErr w:type="gramStart"/>
      <w:r>
        <w:rPr>
          <w:rFonts w:eastAsiaTheme="minorEastAsia"/>
          <w:b/>
          <w:lang w:eastAsia="ja-JP"/>
        </w:rPr>
        <w:t>6.7  CEPT</w:t>
      </w:r>
      <w:proofErr w:type="gramEnd"/>
      <w:r w:rsidRPr="002E3046">
        <w:rPr>
          <w:rFonts w:eastAsiaTheme="minorEastAsia"/>
          <w:b/>
          <w:lang w:eastAsia="ja-JP"/>
        </w:rPr>
        <w:t xml:space="preserve"> </w:t>
      </w:r>
    </w:p>
    <w:p w14:paraId="2B458310" w14:textId="77777777" w:rsidR="005A26CA" w:rsidRDefault="005A26CA" w:rsidP="005A26CA">
      <w:pPr>
        <w:jc w:val="both"/>
        <w:rPr>
          <w:b/>
          <w:bCs/>
        </w:rPr>
      </w:pPr>
    </w:p>
    <w:p w14:paraId="24C1CFFC" w14:textId="77777777" w:rsidR="005A26CA" w:rsidRDefault="005A26CA" w:rsidP="009775C5">
      <w:pPr>
        <w:ind w:left="450"/>
        <w:jc w:val="both"/>
        <w:rPr>
          <w:b/>
        </w:rPr>
      </w:pPr>
      <w:r w:rsidRPr="00F51322">
        <w:rPr>
          <w:b/>
          <w:bCs/>
        </w:rPr>
        <w:t xml:space="preserve">Preliminary </w:t>
      </w:r>
      <w:r w:rsidRPr="00FC5F15">
        <w:rPr>
          <w:rFonts w:eastAsia="Batang"/>
          <w:b/>
          <w:bCs/>
        </w:rPr>
        <w:t>View</w:t>
      </w:r>
      <w:r w:rsidRPr="002E3046">
        <w:rPr>
          <w:b/>
        </w:rPr>
        <w:t xml:space="preserve"> </w:t>
      </w:r>
    </w:p>
    <w:p w14:paraId="6457D36F" w14:textId="59BA9EB6" w:rsidR="00F9181E" w:rsidRPr="00F9181E" w:rsidRDefault="00F9181E" w:rsidP="009775C5">
      <w:pPr>
        <w:autoSpaceDE w:val="0"/>
        <w:autoSpaceDN w:val="0"/>
        <w:adjustRightInd w:val="0"/>
        <w:spacing w:before="240"/>
        <w:ind w:left="450"/>
        <w:jc w:val="both"/>
        <w:rPr>
          <w:rFonts w:eastAsia="ArialMT"/>
          <w:color w:val="000000"/>
          <w:szCs w:val="16"/>
        </w:rPr>
      </w:pPr>
      <w:r w:rsidRPr="00F9181E">
        <w:rPr>
          <w:rFonts w:eastAsia="ArialMT"/>
          <w:color w:val="000000"/>
          <w:szCs w:val="16"/>
        </w:rPr>
        <w:t xml:space="preserve">CEPT supports that the </w:t>
      </w:r>
      <w:proofErr w:type="spellStart"/>
      <w:r w:rsidRPr="00F9181E">
        <w:rPr>
          <w:rFonts w:eastAsia="ArialMT"/>
          <w:color w:val="000000"/>
          <w:szCs w:val="16"/>
        </w:rPr>
        <w:t>MetSat</w:t>
      </w:r>
      <w:proofErr w:type="spellEnd"/>
      <w:r w:rsidRPr="00F9181E">
        <w:rPr>
          <w:rFonts w:eastAsia="ArialMT"/>
          <w:color w:val="000000"/>
          <w:szCs w:val="16"/>
        </w:rPr>
        <w:t xml:space="preserve"> (space-to-Earth) allocation should be upgraded from</w:t>
      </w:r>
      <w:r>
        <w:rPr>
          <w:rFonts w:eastAsia="ArialMT"/>
          <w:color w:val="000000"/>
          <w:szCs w:val="16"/>
        </w:rPr>
        <w:t xml:space="preserve"> </w:t>
      </w:r>
      <w:r w:rsidRPr="00F9181E">
        <w:rPr>
          <w:rFonts w:eastAsia="ArialMT"/>
          <w:color w:val="000000"/>
          <w:szCs w:val="16"/>
        </w:rPr>
        <w:t>secondary to primary status and a primary EESS (space-to-Earth) allocation should be</w:t>
      </w:r>
      <w:r>
        <w:rPr>
          <w:rFonts w:eastAsia="ArialMT"/>
          <w:color w:val="000000"/>
          <w:szCs w:val="16"/>
        </w:rPr>
        <w:t xml:space="preserve"> </w:t>
      </w:r>
      <w:r w:rsidRPr="00F9181E">
        <w:rPr>
          <w:rFonts w:eastAsia="ArialMT"/>
          <w:color w:val="000000"/>
          <w:szCs w:val="16"/>
        </w:rPr>
        <w:t>added in the frequency band 460-470 MHz provided that:</w:t>
      </w:r>
    </w:p>
    <w:p w14:paraId="18573EE4" w14:textId="016962A3" w:rsidR="00F9181E" w:rsidRPr="00F9181E" w:rsidRDefault="00F9181E" w:rsidP="009775C5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810"/>
        <w:jc w:val="both"/>
        <w:rPr>
          <w:rFonts w:eastAsia="ArialMT"/>
          <w:color w:val="000000"/>
          <w:szCs w:val="16"/>
        </w:rPr>
      </w:pPr>
      <w:r w:rsidRPr="00F9181E">
        <w:rPr>
          <w:rFonts w:eastAsia="ArialMT"/>
          <w:color w:val="000000"/>
          <w:szCs w:val="16"/>
        </w:rPr>
        <w:t xml:space="preserve">priority of </w:t>
      </w:r>
      <w:proofErr w:type="spellStart"/>
      <w:r w:rsidRPr="00F9181E">
        <w:rPr>
          <w:rFonts w:eastAsia="ArialMT"/>
          <w:color w:val="000000"/>
          <w:szCs w:val="16"/>
        </w:rPr>
        <w:t>MetSat</w:t>
      </w:r>
      <w:proofErr w:type="spellEnd"/>
      <w:r w:rsidRPr="00F9181E">
        <w:rPr>
          <w:rFonts w:eastAsia="ArialMT"/>
          <w:color w:val="000000"/>
          <w:szCs w:val="16"/>
        </w:rPr>
        <w:t xml:space="preserve"> over EESS as currently expressed in the RR is retained;</w:t>
      </w:r>
    </w:p>
    <w:p w14:paraId="37503666" w14:textId="5CF12397" w:rsidR="00F9181E" w:rsidRPr="00F9181E" w:rsidRDefault="00F9181E" w:rsidP="009775C5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810"/>
        <w:jc w:val="both"/>
        <w:rPr>
          <w:rFonts w:eastAsia="ArialMT"/>
          <w:color w:val="000000"/>
          <w:szCs w:val="16"/>
        </w:rPr>
      </w:pPr>
      <w:r w:rsidRPr="00F9181E">
        <w:rPr>
          <w:rFonts w:eastAsia="ArialMT"/>
          <w:color w:val="000000"/>
          <w:szCs w:val="16"/>
        </w:rPr>
        <w:t>the protection of primary services in the frequency band and in adjacent frequency</w:t>
      </w:r>
      <w:r>
        <w:rPr>
          <w:rFonts w:eastAsia="ArialMT"/>
          <w:color w:val="000000"/>
          <w:szCs w:val="16"/>
        </w:rPr>
        <w:t xml:space="preserve"> </w:t>
      </w:r>
      <w:r w:rsidRPr="00F9181E">
        <w:rPr>
          <w:rFonts w:eastAsia="ArialMT"/>
          <w:color w:val="000000"/>
          <w:szCs w:val="16"/>
        </w:rPr>
        <w:t>bands is ensured</w:t>
      </w:r>
    </w:p>
    <w:p w14:paraId="6AF8CFA1" w14:textId="77777777" w:rsidR="00F9181E" w:rsidRPr="00F9181E" w:rsidRDefault="00F9181E" w:rsidP="009775C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/>
        <w:ind w:left="810"/>
        <w:jc w:val="both"/>
        <w:rPr>
          <w:b/>
          <w:bCs/>
          <w:color w:val="FF0000"/>
        </w:rPr>
      </w:pPr>
      <w:proofErr w:type="gramStart"/>
      <w:r w:rsidRPr="00F9181E">
        <w:rPr>
          <w:rFonts w:eastAsia="ArialMT"/>
          <w:color w:val="000000"/>
          <w:szCs w:val="16"/>
        </w:rPr>
        <w:t>the</w:t>
      </w:r>
      <w:proofErr w:type="gramEnd"/>
      <w:r w:rsidRPr="00F9181E">
        <w:rPr>
          <w:rFonts w:eastAsia="ArialMT"/>
          <w:color w:val="000000"/>
          <w:szCs w:val="16"/>
        </w:rPr>
        <w:t xml:space="preserve"> primary services in this frequency band are not constrained by an upgrade of the</w:t>
      </w:r>
      <w:r>
        <w:rPr>
          <w:rFonts w:eastAsia="ArialMT"/>
          <w:color w:val="000000"/>
          <w:szCs w:val="16"/>
        </w:rPr>
        <w:t xml:space="preserve"> </w:t>
      </w:r>
      <w:proofErr w:type="spellStart"/>
      <w:r w:rsidRPr="00F9181E">
        <w:rPr>
          <w:rFonts w:eastAsia="ArialMT"/>
          <w:color w:val="000000"/>
          <w:szCs w:val="16"/>
        </w:rPr>
        <w:t>Metsat</w:t>
      </w:r>
      <w:proofErr w:type="spellEnd"/>
      <w:r w:rsidRPr="00F9181E">
        <w:rPr>
          <w:rFonts w:eastAsia="ArialMT"/>
          <w:color w:val="000000"/>
          <w:szCs w:val="16"/>
        </w:rPr>
        <w:t xml:space="preserve"> allocation to primary status and an addition of primary EESS allocation</w:t>
      </w:r>
      <w:r>
        <w:rPr>
          <w:rFonts w:eastAsia="ArialMT"/>
          <w:color w:val="000000"/>
          <w:szCs w:val="16"/>
        </w:rPr>
        <w:t>.</w:t>
      </w:r>
    </w:p>
    <w:p w14:paraId="609D90B9" w14:textId="34CD37D7" w:rsidR="005A26CA" w:rsidRPr="00F9181E" w:rsidRDefault="004E525A" w:rsidP="009775C5">
      <w:pPr>
        <w:autoSpaceDE w:val="0"/>
        <w:autoSpaceDN w:val="0"/>
        <w:adjustRightInd w:val="0"/>
        <w:spacing w:before="240"/>
        <w:ind w:left="450"/>
        <w:rPr>
          <w:b/>
          <w:bCs/>
          <w:color w:val="FF0000"/>
        </w:rPr>
      </w:pPr>
      <w:r>
        <w:rPr>
          <w:i/>
          <w:color w:val="0000FF"/>
        </w:rPr>
        <w:t>(</w:t>
      </w:r>
      <w:r w:rsidR="005A26CA" w:rsidRPr="00F9181E">
        <w:rPr>
          <w:i/>
          <w:color w:val="000000" w:themeColor="text1"/>
        </w:rPr>
        <w:t xml:space="preserve">Editor’s note: </w:t>
      </w:r>
      <w:hyperlink r:id="rId37" w:history="1">
        <w:r w:rsidR="005A26CA" w:rsidRPr="005A26CA">
          <w:rPr>
            <w:rStyle w:val="Hyperlink"/>
          </w:rPr>
          <w:t>APG19-2-INF-14</w:t>
        </w:r>
      </w:hyperlink>
      <w:r w:rsidR="005A26CA" w:rsidRPr="00F9181E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)</w:t>
      </w:r>
    </w:p>
    <w:p w14:paraId="488B0C17" w14:textId="77777777" w:rsidR="005A26CA" w:rsidRDefault="005A26CA" w:rsidP="00F51322">
      <w:pPr>
        <w:jc w:val="both"/>
        <w:rPr>
          <w:b/>
          <w:bCs/>
        </w:rPr>
      </w:pPr>
    </w:p>
    <w:p w14:paraId="4A844679" w14:textId="77777777" w:rsidR="00A87B59" w:rsidRDefault="00A87B59" w:rsidP="00A87B59">
      <w:pPr>
        <w:ind w:firstLine="709"/>
        <w:jc w:val="both"/>
        <w:rPr>
          <w:lang w:val="ru-RU"/>
        </w:rPr>
      </w:pPr>
    </w:p>
    <w:p w14:paraId="67F2D333" w14:textId="77777777" w:rsidR="00DD5A18" w:rsidRPr="00C65D64" w:rsidRDefault="003F0AC4" w:rsidP="00DD5A18">
      <w:pPr>
        <w:spacing w:after="120"/>
        <w:jc w:val="both"/>
        <w:rPr>
          <w:b/>
          <w:lang w:val="en-NZ" w:eastAsia="ko-KR"/>
        </w:rPr>
      </w:pPr>
      <w:r w:rsidRPr="00C65D64">
        <w:rPr>
          <w:rFonts w:eastAsia="MS Mincho"/>
          <w:b/>
          <w:lang w:val="en-NZ" w:eastAsia="ja-JP"/>
        </w:rPr>
        <w:t xml:space="preserve">7. </w:t>
      </w:r>
      <w:r w:rsidR="00DD5A18" w:rsidRPr="00C65D64">
        <w:rPr>
          <w:b/>
          <w:lang w:val="en-NZ" w:eastAsia="ko-KR"/>
        </w:rPr>
        <w:t>Issues for Consideration at Next APG Meeting</w:t>
      </w:r>
    </w:p>
    <w:p w14:paraId="412F6EFC" w14:textId="4C89737D" w:rsidR="00AB6C41" w:rsidRDefault="0030636A" w:rsidP="00AB6C41">
      <w:pPr>
        <w:pStyle w:val="ListParagraph"/>
        <w:numPr>
          <w:ilvl w:val="1"/>
          <w:numId w:val="14"/>
        </w:numPr>
        <w:jc w:val="both"/>
      </w:pPr>
      <w:r>
        <w:t xml:space="preserve">APT </w:t>
      </w:r>
      <w:r w:rsidR="009A31A5">
        <w:t>M</w:t>
      </w:r>
      <w:r>
        <w:t>embers are encouraged to participate in and contribute to t</w:t>
      </w:r>
      <w:r w:rsidR="009A31A5">
        <w:t>he work of WP7B in October 2017 and as well as to APG19-3.</w:t>
      </w:r>
    </w:p>
    <w:p w14:paraId="53C19B41" w14:textId="77777777" w:rsidR="00AB6C41" w:rsidRDefault="00AB6C41" w:rsidP="00AB6C41">
      <w:pPr>
        <w:jc w:val="both"/>
      </w:pPr>
    </w:p>
    <w:p w14:paraId="4587D099" w14:textId="77777777" w:rsidR="00AB6C41" w:rsidRDefault="00AB6C41" w:rsidP="009A4A6D">
      <w:pPr>
        <w:jc w:val="center"/>
      </w:pPr>
    </w:p>
    <w:p w14:paraId="4452E336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75E33">
      <w:headerReference w:type="default" r:id="rId38"/>
      <w:footerReference w:type="even" r:id="rId39"/>
      <w:footerReference w:type="default" r:id="rId40"/>
      <w:footerReference w:type="first" r:id="rId4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D636" w14:textId="77777777" w:rsidR="0062779C" w:rsidRDefault="0062779C">
      <w:r>
        <w:separator/>
      </w:r>
    </w:p>
  </w:endnote>
  <w:endnote w:type="continuationSeparator" w:id="0">
    <w:p w14:paraId="2414A9C2" w14:textId="77777777" w:rsidR="0062779C" w:rsidRDefault="006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CE46" w14:textId="77777777" w:rsidR="001A09D7" w:rsidRDefault="001A09D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F3AC1" w14:textId="77777777" w:rsidR="001A09D7" w:rsidRDefault="001A09D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7D5E" w14:textId="54B33703" w:rsidR="001A09D7" w:rsidRDefault="00775E33" w:rsidP="00775E33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PG19-2</w:t>
    </w:r>
    <w:r>
      <w:rPr>
        <w:rFonts w:hint="eastAsia"/>
        <w:lang w:eastAsia="ko-KR"/>
      </w:rPr>
      <w:t>/</w:t>
    </w:r>
    <w:r>
      <w:rPr>
        <w:lang w:eastAsia="ko-KR"/>
      </w:rPr>
      <w:t>OUT-38(Rev.1)</w:t>
    </w:r>
    <w:r>
      <w:rPr>
        <w:lang w:eastAsia="ko-KR"/>
      </w:rPr>
      <w:tab/>
    </w:r>
    <w:r>
      <w:rPr>
        <w:lang w:eastAsia="ko-KR"/>
      </w:rPr>
      <w:tab/>
    </w:r>
    <w:r w:rsidR="001A09D7" w:rsidRPr="002C7EA9">
      <w:rPr>
        <w:rStyle w:val="PageNumber"/>
      </w:rPr>
      <w:t xml:space="preserve">Page </w:t>
    </w:r>
    <w:r w:rsidR="001A09D7" w:rsidRPr="002C7EA9">
      <w:rPr>
        <w:rStyle w:val="PageNumber"/>
      </w:rPr>
      <w:fldChar w:fldCharType="begin"/>
    </w:r>
    <w:r w:rsidR="001A09D7" w:rsidRPr="002C7EA9">
      <w:rPr>
        <w:rStyle w:val="PageNumber"/>
      </w:rPr>
      <w:instrText xml:space="preserve"> PAGE </w:instrText>
    </w:r>
    <w:r w:rsidR="001A09D7" w:rsidRPr="002C7EA9">
      <w:rPr>
        <w:rStyle w:val="PageNumber"/>
      </w:rPr>
      <w:fldChar w:fldCharType="separate"/>
    </w:r>
    <w:r>
      <w:rPr>
        <w:rStyle w:val="PageNumber"/>
        <w:noProof/>
      </w:rPr>
      <w:t>4</w:t>
    </w:r>
    <w:r w:rsidR="001A09D7" w:rsidRPr="002C7EA9">
      <w:rPr>
        <w:rStyle w:val="PageNumber"/>
      </w:rPr>
      <w:fldChar w:fldCharType="end"/>
    </w:r>
    <w:r w:rsidR="001A09D7" w:rsidRPr="002C7EA9">
      <w:rPr>
        <w:rStyle w:val="PageNumber"/>
      </w:rPr>
      <w:t xml:space="preserve"> of </w:t>
    </w:r>
    <w:r w:rsidR="001A09D7" w:rsidRPr="002C7EA9">
      <w:rPr>
        <w:rStyle w:val="PageNumber"/>
      </w:rPr>
      <w:fldChar w:fldCharType="begin"/>
    </w:r>
    <w:r w:rsidR="001A09D7" w:rsidRPr="002C7EA9">
      <w:rPr>
        <w:rStyle w:val="PageNumber"/>
      </w:rPr>
      <w:instrText xml:space="preserve"> NUMPAGES </w:instrText>
    </w:r>
    <w:r w:rsidR="001A09D7" w:rsidRPr="002C7EA9">
      <w:rPr>
        <w:rStyle w:val="PageNumber"/>
      </w:rPr>
      <w:fldChar w:fldCharType="separate"/>
    </w:r>
    <w:r>
      <w:rPr>
        <w:rStyle w:val="PageNumber"/>
        <w:noProof/>
      </w:rPr>
      <w:t>5</w:t>
    </w:r>
    <w:r w:rsidR="001A09D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A09D7" w14:paraId="12DB2CF2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4167573" w14:textId="77777777" w:rsidR="001A09D7" w:rsidRPr="007B00DD" w:rsidRDefault="001A09D7" w:rsidP="00762576">
          <w:pPr>
            <w:rPr>
              <w:b/>
              <w:bCs/>
            </w:rPr>
          </w:pPr>
          <w:r w:rsidRPr="007B00DD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0CA4950C" w14:textId="55A2525E" w:rsidR="001A09D7" w:rsidRPr="00DD5A18" w:rsidRDefault="003E2FF2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szCs w:val="24"/>
              <w:lang w:val="en-US" w:eastAsia="ja-JP"/>
            </w:rPr>
          </w:pPr>
          <w:proofErr w:type="spellStart"/>
          <w:r>
            <w:rPr>
              <w:szCs w:val="24"/>
              <w:lang w:val="en-US" w:eastAsia="ja-JP"/>
            </w:rPr>
            <w:t>Miftadi</w:t>
          </w:r>
          <w:proofErr w:type="spellEnd"/>
          <w:r>
            <w:rPr>
              <w:szCs w:val="24"/>
              <w:lang w:val="en-US" w:eastAsia="ja-JP"/>
            </w:rPr>
            <w:t xml:space="preserve"> </w:t>
          </w:r>
          <w:proofErr w:type="spellStart"/>
          <w:r>
            <w:rPr>
              <w:szCs w:val="24"/>
              <w:lang w:val="en-US" w:eastAsia="ja-JP"/>
            </w:rPr>
            <w:t>Sudjai</w:t>
          </w:r>
          <w:proofErr w:type="spellEnd"/>
        </w:p>
        <w:p w14:paraId="20F69FCA" w14:textId="2EB78734" w:rsidR="001A09D7" w:rsidRPr="004D2761" w:rsidRDefault="001A09D7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lang w:val="en-US" w:eastAsia="ja-JP"/>
            </w:rPr>
          </w:pPr>
          <w:r>
            <w:rPr>
              <w:rFonts w:eastAsia="Batang"/>
            </w:rPr>
            <w:t>Chair, DG on AI</w:t>
          </w:r>
          <w:r w:rsidR="003E2FF2">
            <w:rPr>
              <w:rFonts w:eastAsia="Batang"/>
            </w:rPr>
            <w:t>1</w:t>
          </w:r>
          <w:r>
            <w:rPr>
              <w:rFonts w:hint="eastAsia"/>
              <w:lang w:eastAsia="ja-JP"/>
            </w:rPr>
            <w:t>.</w:t>
          </w:r>
          <w:r w:rsidR="003E2FF2">
            <w:rPr>
              <w:lang w:eastAsia="ja-JP"/>
            </w:rPr>
            <w:t>3</w:t>
          </w:r>
        </w:p>
        <w:p w14:paraId="305CC53A" w14:textId="1F95BA1E" w:rsidR="001A09D7" w:rsidRPr="004D2761" w:rsidRDefault="001A09D7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lang w:val="en-US" w:eastAsia="ja-JP"/>
            </w:rPr>
          </w:pPr>
          <w:r>
            <w:rPr>
              <w:lang w:val="en-US" w:eastAsia="ja-JP"/>
            </w:rPr>
            <w:t>Indonesia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3649267C" w14:textId="7A05F224" w:rsidR="001A09D7" w:rsidRDefault="001A09D7" w:rsidP="001A14CD">
          <w:pPr>
            <w:rPr>
              <w:rFonts w:eastAsia="MS Mincho"/>
              <w:lang w:eastAsia="ja-JP"/>
            </w:rPr>
          </w:pPr>
          <w:r w:rsidRPr="007B00DD">
            <w:rPr>
              <w:b/>
            </w:rPr>
            <w:t>Email</w:t>
          </w:r>
          <w:r w:rsidRPr="007B00DD">
            <w:rPr>
              <w:rFonts w:hint="eastAsia"/>
              <w:b/>
            </w:rPr>
            <w:t>:</w:t>
          </w:r>
          <w:r>
            <w:rPr>
              <w:rFonts w:eastAsia="MS Mincho"/>
              <w:lang w:eastAsia="ja-JP"/>
            </w:rPr>
            <w:t xml:space="preserve">         </w:t>
          </w:r>
          <w:hyperlink r:id="rId1" w:history="1">
            <w:r w:rsidR="003E2FF2" w:rsidRPr="00666BBB">
              <w:rPr>
                <w:rStyle w:val="Hyperlink"/>
                <w:rFonts w:eastAsia="MS Mincho"/>
                <w:lang w:eastAsia="ja-JP"/>
              </w:rPr>
              <w:t>miftadi@telkomuniversity.ac.id</w:t>
            </w:r>
          </w:hyperlink>
        </w:p>
        <w:p w14:paraId="7207086D" w14:textId="4DB1BA69" w:rsidR="001A09D7" w:rsidRPr="00E43389" w:rsidRDefault="001A09D7" w:rsidP="001A14CD">
          <w:pPr>
            <w:rPr>
              <w:rFonts w:eastAsia="MS Mincho"/>
              <w:lang w:eastAsia="ja-JP"/>
            </w:rPr>
          </w:pPr>
        </w:p>
      </w:tc>
    </w:tr>
  </w:tbl>
  <w:p w14:paraId="7D57F064" w14:textId="11326B60" w:rsidR="001A09D7" w:rsidRDefault="001A0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F4A9" w14:textId="77777777" w:rsidR="0062779C" w:rsidRDefault="0062779C">
      <w:r>
        <w:separator/>
      </w:r>
    </w:p>
  </w:footnote>
  <w:footnote w:type="continuationSeparator" w:id="0">
    <w:p w14:paraId="6D91974C" w14:textId="77777777" w:rsidR="0062779C" w:rsidRDefault="0062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484D" w14:textId="18AA1DAA" w:rsidR="001A09D7" w:rsidRDefault="001A09D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6DA88178" w14:textId="77777777" w:rsidR="001A09D7" w:rsidRDefault="001A09D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7BB"/>
    <w:multiLevelType w:val="hybridMultilevel"/>
    <w:tmpl w:val="A462B94E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167106"/>
    <w:multiLevelType w:val="hybridMultilevel"/>
    <w:tmpl w:val="1C427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6B3F"/>
    <w:multiLevelType w:val="hybridMultilevel"/>
    <w:tmpl w:val="3C6415BC"/>
    <w:lvl w:ilvl="0" w:tplc="26281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FB4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9E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8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6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880072"/>
    <w:multiLevelType w:val="multilevel"/>
    <w:tmpl w:val="91923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EF5D19"/>
    <w:multiLevelType w:val="hybridMultilevel"/>
    <w:tmpl w:val="A11C2982"/>
    <w:lvl w:ilvl="0" w:tplc="07629780">
      <w:start w:val="1"/>
      <w:numFmt w:val="bullet"/>
      <w:lvlText w:val="-"/>
      <w:lvlJc w:val="left"/>
      <w:pPr>
        <w:ind w:left="1200" w:hanging="40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5DD06FF"/>
    <w:multiLevelType w:val="hybridMultilevel"/>
    <w:tmpl w:val="0804D37A"/>
    <w:lvl w:ilvl="0" w:tplc="6B24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8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6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6A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47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81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EF3BA6"/>
    <w:multiLevelType w:val="hybridMultilevel"/>
    <w:tmpl w:val="0B24C8A8"/>
    <w:lvl w:ilvl="0" w:tplc="4FD62C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02B5273"/>
    <w:multiLevelType w:val="hybridMultilevel"/>
    <w:tmpl w:val="B1F23906"/>
    <w:lvl w:ilvl="0" w:tplc="076297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B6DC905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983CB4"/>
    <w:multiLevelType w:val="hybridMultilevel"/>
    <w:tmpl w:val="6706F0A2"/>
    <w:lvl w:ilvl="0" w:tplc="0762978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E14BD"/>
    <w:multiLevelType w:val="hybridMultilevel"/>
    <w:tmpl w:val="0FE4FAB2"/>
    <w:lvl w:ilvl="0" w:tplc="39D05526">
      <w:start w:val="2"/>
      <w:numFmt w:val="bullet"/>
      <w:lvlText w:val="-"/>
      <w:lvlJc w:val="left"/>
      <w:pPr>
        <w:ind w:left="4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 w15:restartNumberingAfterBreak="0">
    <w:nsid w:val="28383807"/>
    <w:multiLevelType w:val="hybridMultilevel"/>
    <w:tmpl w:val="A8CABCF6"/>
    <w:lvl w:ilvl="0" w:tplc="999A40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56E7088"/>
    <w:multiLevelType w:val="hybridMultilevel"/>
    <w:tmpl w:val="DF5201AE"/>
    <w:lvl w:ilvl="0" w:tplc="07629780">
      <w:start w:val="1"/>
      <w:numFmt w:val="bullet"/>
      <w:lvlText w:val="-"/>
      <w:lvlJc w:val="left"/>
      <w:pPr>
        <w:ind w:left="420" w:hanging="420"/>
      </w:pPr>
      <w:rPr>
        <w:rFonts w:ascii="Sylfaen" w:hAnsi="Sylfae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30AFC"/>
    <w:multiLevelType w:val="hybridMultilevel"/>
    <w:tmpl w:val="CB425F5E"/>
    <w:lvl w:ilvl="0" w:tplc="076297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7391"/>
    <w:multiLevelType w:val="hybridMultilevel"/>
    <w:tmpl w:val="9E38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8472B83"/>
    <w:multiLevelType w:val="hybridMultilevel"/>
    <w:tmpl w:val="EFFA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0354C"/>
    <w:multiLevelType w:val="hybridMultilevel"/>
    <w:tmpl w:val="7E9E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8501B"/>
    <w:multiLevelType w:val="hybridMultilevel"/>
    <w:tmpl w:val="935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E1A4D"/>
    <w:multiLevelType w:val="hybridMultilevel"/>
    <w:tmpl w:val="9DCC0C1E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A114EBFA">
      <w:start w:val="1"/>
      <w:numFmt w:val="bullet"/>
      <w:lvlText w:val="-"/>
      <w:lvlJc w:val="left"/>
      <w:pPr>
        <w:ind w:left="720" w:hanging="400"/>
      </w:pPr>
      <w:rPr>
        <w:rFonts w:ascii="Malgun Gothic" w:eastAsia="Malgun Gothic" w:hAnsi="Malgun Gothic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5" w15:restartNumberingAfterBreak="0">
    <w:nsid w:val="3C9553A6"/>
    <w:multiLevelType w:val="hybridMultilevel"/>
    <w:tmpl w:val="A5B80A2E"/>
    <w:lvl w:ilvl="0" w:tplc="046869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1335FF"/>
    <w:multiLevelType w:val="hybridMultilevel"/>
    <w:tmpl w:val="67745B1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7629780">
      <w:start w:val="1"/>
      <w:numFmt w:val="bullet"/>
      <w:lvlText w:val="-"/>
      <w:lvlJc w:val="left"/>
      <w:pPr>
        <w:ind w:left="720" w:hanging="400"/>
      </w:pPr>
      <w:rPr>
        <w:rFonts w:ascii="Sylfaen" w:hAnsi="Sylfae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27" w15:restartNumberingAfterBreak="0">
    <w:nsid w:val="40955EAF"/>
    <w:multiLevelType w:val="hybridMultilevel"/>
    <w:tmpl w:val="3A3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D3297"/>
    <w:multiLevelType w:val="hybridMultilevel"/>
    <w:tmpl w:val="79ECDB58"/>
    <w:lvl w:ilvl="0" w:tplc="1FEADCB2"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D15F46"/>
    <w:multiLevelType w:val="hybridMultilevel"/>
    <w:tmpl w:val="761C70CC"/>
    <w:lvl w:ilvl="0" w:tplc="E6608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A3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63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AC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C3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27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E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29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6C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521D0"/>
    <w:multiLevelType w:val="hybridMultilevel"/>
    <w:tmpl w:val="CFF8F13A"/>
    <w:lvl w:ilvl="0" w:tplc="046869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DAFC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E42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44D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683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444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66F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AE55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F0F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3197DBB"/>
    <w:multiLevelType w:val="hybridMultilevel"/>
    <w:tmpl w:val="82E8A1FC"/>
    <w:lvl w:ilvl="0" w:tplc="A7B2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6E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42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E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9D70A4"/>
    <w:multiLevelType w:val="hybridMultilevel"/>
    <w:tmpl w:val="104818E0"/>
    <w:lvl w:ilvl="0" w:tplc="A232E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0E8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A1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82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2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63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43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EC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E7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0C1737D"/>
    <w:multiLevelType w:val="hybridMultilevel"/>
    <w:tmpl w:val="ED28C820"/>
    <w:lvl w:ilvl="0" w:tplc="3BD0276E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D15599"/>
    <w:multiLevelType w:val="hybridMultilevel"/>
    <w:tmpl w:val="FADEC67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5EE045E"/>
    <w:multiLevelType w:val="hybridMultilevel"/>
    <w:tmpl w:val="74A20C80"/>
    <w:lvl w:ilvl="0" w:tplc="121044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082C"/>
    <w:multiLevelType w:val="hybridMultilevel"/>
    <w:tmpl w:val="6E40169C"/>
    <w:lvl w:ilvl="0" w:tplc="B034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C9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2C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E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86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475DDB"/>
    <w:multiLevelType w:val="hybridMultilevel"/>
    <w:tmpl w:val="D0889AEA"/>
    <w:lvl w:ilvl="0" w:tplc="076297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747784"/>
    <w:multiLevelType w:val="hybridMultilevel"/>
    <w:tmpl w:val="8CFC32FA"/>
    <w:lvl w:ilvl="0" w:tplc="0762978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35"/>
  </w:num>
  <w:num w:numId="5">
    <w:abstractNumId w:val="15"/>
  </w:num>
  <w:num w:numId="6">
    <w:abstractNumId w:val="20"/>
  </w:num>
  <w:num w:numId="7">
    <w:abstractNumId w:val="8"/>
  </w:num>
  <w:num w:numId="8">
    <w:abstractNumId w:val="1"/>
  </w:num>
  <w:num w:numId="9">
    <w:abstractNumId w:val="36"/>
  </w:num>
  <w:num w:numId="10">
    <w:abstractNumId w:val="16"/>
  </w:num>
  <w:num w:numId="11">
    <w:abstractNumId w:val="33"/>
  </w:num>
  <w:num w:numId="12">
    <w:abstractNumId w:val="34"/>
  </w:num>
  <w:num w:numId="13">
    <w:abstractNumId w:val="0"/>
  </w:num>
  <w:num w:numId="14">
    <w:abstractNumId w:val="24"/>
  </w:num>
  <w:num w:numId="15">
    <w:abstractNumId w:val="32"/>
  </w:num>
  <w:num w:numId="16">
    <w:abstractNumId w:val="3"/>
  </w:num>
  <w:num w:numId="17">
    <w:abstractNumId w:val="29"/>
  </w:num>
  <w:num w:numId="18">
    <w:abstractNumId w:val="13"/>
  </w:num>
  <w:num w:numId="19">
    <w:abstractNumId w:val="5"/>
  </w:num>
  <w:num w:numId="20">
    <w:abstractNumId w:val="37"/>
  </w:num>
  <w:num w:numId="21">
    <w:abstractNumId w:val="23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"/>
  </w:num>
  <w:num w:numId="27">
    <w:abstractNumId w:val="6"/>
  </w:num>
  <w:num w:numId="28">
    <w:abstractNumId w:val="38"/>
  </w:num>
  <w:num w:numId="29">
    <w:abstractNumId w:val="22"/>
  </w:num>
  <w:num w:numId="30">
    <w:abstractNumId w:val="31"/>
  </w:num>
  <w:num w:numId="31">
    <w:abstractNumId w:val="30"/>
  </w:num>
  <w:num w:numId="32">
    <w:abstractNumId w:val="12"/>
  </w:num>
  <w:num w:numId="33">
    <w:abstractNumId w:val="7"/>
  </w:num>
  <w:num w:numId="34">
    <w:abstractNumId w:val="27"/>
  </w:num>
  <w:num w:numId="35">
    <w:abstractNumId w:val="28"/>
  </w:num>
  <w:num w:numId="36">
    <w:abstractNumId w:val="26"/>
  </w:num>
  <w:num w:numId="37">
    <w:abstractNumId w:val="17"/>
  </w:num>
  <w:num w:numId="38">
    <w:abstractNumId w:val="40"/>
  </w:num>
  <w:num w:numId="39">
    <w:abstractNumId w:val="25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5BD5"/>
    <w:rsid w:val="00021E06"/>
    <w:rsid w:val="000316C5"/>
    <w:rsid w:val="0003595B"/>
    <w:rsid w:val="000371C3"/>
    <w:rsid w:val="00045E45"/>
    <w:rsid w:val="0005398A"/>
    <w:rsid w:val="00064165"/>
    <w:rsid w:val="000713CF"/>
    <w:rsid w:val="000746F4"/>
    <w:rsid w:val="000756AE"/>
    <w:rsid w:val="0008168C"/>
    <w:rsid w:val="00085F81"/>
    <w:rsid w:val="00087102"/>
    <w:rsid w:val="000908FB"/>
    <w:rsid w:val="0009301F"/>
    <w:rsid w:val="00096F69"/>
    <w:rsid w:val="000A0D53"/>
    <w:rsid w:val="000A5418"/>
    <w:rsid w:val="000B790B"/>
    <w:rsid w:val="000C7AF3"/>
    <w:rsid w:val="000D1978"/>
    <w:rsid w:val="000D3C2D"/>
    <w:rsid w:val="000D48CC"/>
    <w:rsid w:val="000E5B5D"/>
    <w:rsid w:val="000F517C"/>
    <w:rsid w:val="000F5540"/>
    <w:rsid w:val="00105971"/>
    <w:rsid w:val="00121F5F"/>
    <w:rsid w:val="00125807"/>
    <w:rsid w:val="001346CF"/>
    <w:rsid w:val="00137CC4"/>
    <w:rsid w:val="00147D45"/>
    <w:rsid w:val="001539DD"/>
    <w:rsid w:val="001651CA"/>
    <w:rsid w:val="00182D55"/>
    <w:rsid w:val="00196568"/>
    <w:rsid w:val="001A09D7"/>
    <w:rsid w:val="001A14CD"/>
    <w:rsid w:val="001A2CF1"/>
    <w:rsid w:val="001A2F16"/>
    <w:rsid w:val="001A4B20"/>
    <w:rsid w:val="001B0618"/>
    <w:rsid w:val="001B18C2"/>
    <w:rsid w:val="001B264D"/>
    <w:rsid w:val="001C4AEB"/>
    <w:rsid w:val="001C610F"/>
    <w:rsid w:val="001D5D7E"/>
    <w:rsid w:val="001E17CC"/>
    <w:rsid w:val="001E3485"/>
    <w:rsid w:val="00205E27"/>
    <w:rsid w:val="002106AD"/>
    <w:rsid w:val="0021296C"/>
    <w:rsid w:val="002252AE"/>
    <w:rsid w:val="00226B32"/>
    <w:rsid w:val="0022721D"/>
    <w:rsid w:val="00232092"/>
    <w:rsid w:val="00254A1B"/>
    <w:rsid w:val="0025526D"/>
    <w:rsid w:val="002740EA"/>
    <w:rsid w:val="0027687A"/>
    <w:rsid w:val="002811A8"/>
    <w:rsid w:val="0028454D"/>
    <w:rsid w:val="00290ABD"/>
    <w:rsid w:val="00291C9E"/>
    <w:rsid w:val="002926D4"/>
    <w:rsid w:val="002942F7"/>
    <w:rsid w:val="00295D9B"/>
    <w:rsid w:val="00297779"/>
    <w:rsid w:val="002A14B9"/>
    <w:rsid w:val="002C07DA"/>
    <w:rsid w:val="002C4B02"/>
    <w:rsid w:val="002C7EA9"/>
    <w:rsid w:val="002D10E0"/>
    <w:rsid w:val="002E139F"/>
    <w:rsid w:val="002E1658"/>
    <w:rsid w:val="0030636A"/>
    <w:rsid w:val="00306FB9"/>
    <w:rsid w:val="003079F1"/>
    <w:rsid w:val="00310152"/>
    <w:rsid w:val="00311E28"/>
    <w:rsid w:val="00312F5C"/>
    <w:rsid w:val="00320A38"/>
    <w:rsid w:val="003264B7"/>
    <w:rsid w:val="00342F20"/>
    <w:rsid w:val="003446A2"/>
    <w:rsid w:val="0035042A"/>
    <w:rsid w:val="00351867"/>
    <w:rsid w:val="003612AB"/>
    <w:rsid w:val="00366C10"/>
    <w:rsid w:val="00373624"/>
    <w:rsid w:val="0037636D"/>
    <w:rsid w:val="003809C7"/>
    <w:rsid w:val="00386031"/>
    <w:rsid w:val="00386262"/>
    <w:rsid w:val="0038745F"/>
    <w:rsid w:val="0039178D"/>
    <w:rsid w:val="00393E67"/>
    <w:rsid w:val="003956DE"/>
    <w:rsid w:val="00395EE9"/>
    <w:rsid w:val="003B3446"/>
    <w:rsid w:val="003B427E"/>
    <w:rsid w:val="003B6263"/>
    <w:rsid w:val="003C5152"/>
    <w:rsid w:val="003C64A7"/>
    <w:rsid w:val="003D1876"/>
    <w:rsid w:val="003D3FDA"/>
    <w:rsid w:val="003E2FF2"/>
    <w:rsid w:val="003F0AC4"/>
    <w:rsid w:val="0041779A"/>
    <w:rsid w:val="00417C50"/>
    <w:rsid w:val="00420822"/>
    <w:rsid w:val="004305D3"/>
    <w:rsid w:val="00442041"/>
    <w:rsid w:val="004434A6"/>
    <w:rsid w:val="00444E71"/>
    <w:rsid w:val="00446B3F"/>
    <w:rsid w:val="0045458F"/>
    <w:rsid w:val="0046177F"/>
    <w:rsid w:val="004633B4"/>
    <w:rsid w:val="004663ED"/>
    <w:rsid w:val="00473941"/>
    <w:rsid w:val="00493D17"/>
    <w:rsid w:val="004A11B8"/>
    <w:rsid w:val="004B2010"/>
    <w:rsid w:val="004B3553"/>
    <w:rsid w:val="004D2761"/>
    <w:rsid w:val="004E525A"/>
    <w:rsid w:val="004F2E51"/>
    <w:rsid w:val="0051114D"/>
    <w:rsid w:val="00516393"/>
    <w:rsid w:val="00516C66"/>
    <w:rsid w:val="00530E8C"/>
    <w:rsid w:val="00532D8B"/>
    <w:rsid w:val="00543F51"/>
    <w:rsid w:val="00544A70"/>
    <w:rsid w:val="00545933"/>
    <w:rsid w:val="005532CF"/>
    <w:rsid w:val="005565C4"/>
    <w:rsid w:val="00557544"/>
    <w:rsid w:val="00562A19"/>
    <w:rsid w:val="00566CE6"/>
    <w:rsid w:val="00572E9C"/>
    <w:rsid w:val="00584934"/>
    <w:rsid w:val="00586C27"/>
    <w:rsid w:val="005875B7"/>
    <w:rsid w:val="00587875"/>
    <w:rsid w:val="00591DD6"/>
    <w:rsid w:val="0059288A"/>
    <w:rsid w:val="005A26CA"/>
    <w:rsid w:val="005A4744"/>
    <w:rsid w:val="005A7EA8"/>
    <w:rsid w:val="005C3F90"/>
    <w:rsid w:val="005D0A7A"/>
    <w:rsid w:val="005D1E3E"/>
    <w:rsid w:val="005D23EF"/>
    <w:rsid w:val="005D736D"/>
    <w:rsid w:val="005E50E0"/>
    <w:rsid w:val="005F0B69"/>
    <w:rsid w:val="005F5CC9"/>
    <w:rsid w:val="00604CFB"/>
    <w:rsid w:val="00607E2B"/>
    <w:rsid w:val="006110D7"/>
    <w:rsid w:val="006115D3"/>
    <w:rsid w:val="00611AAE"/>
    <w:rsid w:val="006149FB"/>
    <w:rsid w:val="00615C99"/>
    <w:rsid w:val="0061666B"/>
    <w:rsid w:val="00623CE1"/>
    <w:rsid w:val="0062779C"/>
    <w:rsid w:val="0063062B"/>
    <w:rsid w:val="00647723"/>
    <w:rsid w:val="00656967"/>
    <w:rsid w:val="00667229"/>
    <w:rsid w:val="00682BE5"/>
    <w:rsid w:val="00685ABC"/>
    <w:rsid w:val="00690FED"/>
    <w:rsid w:val="006939A5"/>
    <w:rsid w:val="006A02CF"/>
    <w:rsid w:val="006A3F8C"/>
    <w:rsid w:val="006A4000"/>
    <w:rsid w:val="006A440B"/>
    <w:rsid w:val="006C0AA5"/>
    <w:rsid w:val="006C165B"/>
    <w:rsid w:val="006C6A7F"/>
    <w:rsid w:val="006E37C2"/>
    <w:rsid w:val="006E4904"/>
    <w:rsid w:val="006E5CFD"/>
    <w:rsid w:val="006F0D94"/>
    <w:rsid w:val="006F6AF2"/>
    <w:rsid w:val="0070293D"/>
    <w:rsid w:val="00712451"/>
    <w:rsid w:val="00714AF4"/>
    <w:rsid w:val="00732F08"/>
    <w:rsid w:val="007404BF"/>
    <w:rsid w:val="0074190C"/>
    <w:rsid w:val="00744A76"/>
    <w:rsid w:val="0075734D"/>
    <w:rsid w:val="0076135F"/>
    <w:rsid w:val="00762576"/>
    <w:rsid w:val="00770F59"/>
    <w:rsid w:val="00775E33"/>
    <w:rsid w:val="007766A1"/>
    <w:rsid w:val="00782050"/>
    <w:rsid w:val="007850BC"/>
    <w:rsid w:val="00791060"/>
    <w:rsid w:val="0079615F"/>
    <w:rsid w:val="007A1A88"/>
    <w:rsid w:val="007A48EB"/>
    <w:rsid w:val="007A507E"/>
    <w:rsid w:val="007B0012"/>
    <w:rsid w:val="007B00DD"/>
    <w:rsid w:val="007B5626"/>
    <w:rsid w:val="007D6707"/>
    <w:rsid w:val="007D78EC"/>
    <w:rsid w:val="007E6079"/>
    <w:rsid w:val="007F7343"/>
    <w:rsid w:val="0080570B"/>
    <w:rsid w:val="00811E01"/>
    <w:rsid w:val="008132F5"/>
    <w:rsid w:val="00813822"/>
    <w:rsid w:val="00813F98"/>
    <w:rsid w:val="008148E1"/>
    <w:rsid w:val="00824713"/>
    <w:rsid w:val="008252C6"/>
    <w:rsid w:val="008319BF"/>
    <w:rsid w:val="0085248E"/>
    <w:rsid w:val="008555E2"/>
    <w:rsid w:val="00871C2D"/>
    <w:rsid w:val="00874437"/>
    <w:rsid w:val="00874E7E"/>
    <w:rsid w:val="008852D1"/>
    <w:rsid w:val="008945CE"/>
    <w:rsid w:val="0089738D"/>
    <w:rsid w:val="008A4964"/>
    <w:rsid w:val="008A559E"/>
    <w:rsid w:val="008B49BC"/>
    <w:rsid w:val="008B68AF"/>
    <w:rsid w:val="008B6FB3"/>
    <w:rsid w:val="008B7B8E"/>
    <w:rsid w:val="008C1496"/>
    <w:rsid w:val="008D0E09"/>
    <w:rsid w:val="009010CC"/>
    <w:rsid w:val="00932C9E"/>
    <w:rsid w:val="009560BD"/>
    <w:rsid w:val="00965714"/>
    <w:rsid w:val="00967E62"/>
    <w:rsid w:val="00974576"/>
    <w:rsid w:val="00974EA1"/>
    <w:rsid w:val="0097693B"/>
    <w:rsid w:val="009775C5"/>
    <w:rsid w:val="00993355"/>
    <w:rsid w:val="009A31A5"/>
    <w:rsid w:val="009A4A6D"/>
    <w:rsid w:val="009A76F6"/>
    <w:rsid w:val="009B046A"/>
    <w:rsid w:val="009B13AE"/>
    <w:rsid w:val="009C0BA8"/>
    <w:rsid w:val="009C3BAC"/>
    <w:rsid w:val="009D7ABC"/>
    <w:rsid w:val="009E389F"/>
    <w:rsid w:val="00A12738"/>
    <w:rsid w:val="00A13265"/>
    <w:rsid w:val="00A25036"/>
    <w:rsid w:val="00A32308"/>
    <w:rsid w:val="00A37671"/>
    <w:rsid w:val="00A46F42"/>
    <w:rsid w:val="00A57FD8"/>
    <w:rsid w:val="00A62439"/>
    <w:rsid w:val="00A643D6"/>
    <w:rsid w:val="00A71136"/>
    <w:rsid w:val="00A7366D"/>
    <w:rsid w:val="00A76093"/>
    <w:rsid w:val="00A856F4"/>
    <w:rsid w:val="00A87B59"/>
    <w:rsid w:val="00A962E5"/>
    <w:rsid w:val="00A96D24"/>
    <w:rsid w:val="00AA474C"/>
    <w:rsid w:val="00AA731D"/>
    <w:rsid w:val="00AB4C6A"/>
    <w:rsid w:val="00AB6C41"/>
    <w:rsid w:val="00AD4A56"/>
    <w:rsid w:val="00AD77F1"/>
    <w:rsid w:val="00AD7E5F"/>
    <w:rsid w:val="00AF1234"/>
    <w:rsid w:val="00AF6F53"/>
    <w:rsid w:val="00B00EFD"/>
    <w:rsid w:val="00B01AA1"/>
    <w:rsid w:val="00B031E7"/>
    <w:rsid w:val="00B114EC"/>
    <w:rsid w:val="00B11C80"/>
    <w:rsid w:val="00B21A0D"/>
    <w:rsid w:val="00B30C81"/>
    <w:rsid w:val="00B4793B"/>
    <w:rsid w:val="00B51137"/>
    <w:rsid w:val="00B57833"/>
    <w:rsid w:val="00B65CCB"/>
    <w:rsid w:val="00B82FE4"/>
    <w:rsid w:val="00B84ACA"/>
    <w:rsid w:val="00B9570D"/>
    <w:rsid w:val="00BA57FD"/>
    <w:rsid w:val="00BA6765"/>
    <w:rsid w:val="00BA6862"/>
    <w:rsid w:val="00BA6F85"/>
    <w:rsid w:val="00BC2641"/>
    <w:rsid w:val="00BE2DCC"/>
    <w:rsid w:val="00BF70E5"/>
    <w:rsid w:val="00BF7253"/>
    <w:rsid w:val="00BF726C"/>
    <w:rsid w:val="00C01A2B"/>
    <w:rsid w:val="00C01DB1"/>
    <w:rsid w:val="00C07307"/>
    <w:rsid w:val="00C113B6"/>
    <w:rsid w:val="00C15633"/>
    <w:rsid w:val="00C15799"/>
    <w:rsid w:val="00C21C51"/>
    <w:rsid w:val="00C22E09"/>
    <w:rsid w:val="00C255E9"/>
    <w:rsid w:val="00C357AD"/>
    <w:rsid w:val="00C4585B"/>
    <w:rsid w:val="00C466B6"/>
    <w:rsid w:val="00C47F79"/>
    <w:rsid w:val="00C50224"/>
    <w:rsid w:val="00C5168D"/>
    <w:rsid w:val="00C5730E"/>
    <w:rsid w:val="00C6069C"/>
    <w:rsid w:val="00C61AAC"/>
    <w:rsid w:val="00C65D64"/>
    <w:rsid w:val="00C702A1"/>
    <w:rsid w:val="00C80021"/>
    <w:rsid w:val="00C854F2"/>
    <w:rsid w:val="00C8638C"/>
    <w:rsid w:val="00C91556"/>
    <w:rsid w:val="00C933F3"/>
    <w:rsid w:val="00C94FE7"/>
    <w:rsid w:val="00CA00E0"/>
    <w:rsid w:val="00CB121F"/>
    <w:rsid w:val="00CB4ACB"/>
    <w:rsid w:val="00CC1B4F"/>
    <w:rsid w:val="00CC5332"/>
    <w:rsid w:val="00CC7CC1"/>
    <w:rsid w:val="00CD5431"/>
    <w:rsid w:val="00CD6AB2"/>
    <w:rsid w:val="00CE08DC"/>
    <w:rsid w:val="00CE39E0"/>
    <w:rsid w:val="00CF2491"/>
    <w:rsid w:val="00CF34D2"/>
    <w:rsid w:val="00D1252E"/>
    <w:rsid w:val="00D13B41"/>
    <w:rsid w:val="00D31D8E"/>
    <w:rsid w:val="00D36655"/>
    <w:rsid w:val="00D37FE3"/>
    <w:rsid w:val="00D47D2E"/>
    <w:rsid w:val="00D544AF"/>
    <w:rsid w:val="00D57772"/>
    <w:rsid w:val="00D75546"/>
    <w:rsid w:val="00D75A4D"/>
    <w:rsid w:val="00D767EE"/>
    <w:rsid w:val="00D8478B"/>
    <w:rsid w:val="00D86151"/>
    <w:rsid w:val="00D86A8D"/>
    <w:rsid w:val="00D903E0"/>
    <w:rsid w:val="00D93D55"/>
    <w:rsid w:val="00D9739F"/>
    <w:rsid w:val="00DA2674"/>
    <w:rsid w:val="00DA2CEB"/>
    <w:rsid w:val="00DA7595"/>
    <w:rsid w:val="00DB0A68"/>
    <w:rsid w:val="00DB19AA"/>
    <w:rsid w:val="00DB406C"/>
    <w:rsid w:val="00DC0EE9"/>
    <w:rsid w:val="00DC43A3"/>
    <w:rsid w:val="00DC56C9"/>
    <w:rsid w:val="00DD1B7A"/>
    <w:rsid w:val="00DD5A18"/>
    <w:rsid w:val="00DD6033"/>
    <w:rsid w:val="00DD621B"/>
    <w:rsid w:val="00DD7C09"/>
    <w:rsid w:val="00DE42A3"/>
    <w:rsid w:val="00DE5112"/>
    <w:rsid w:val="00E0124F"/>
    <w:rsid w:val="00E050CE"/>
    <w:rsid w:val="00E10C65"/>
    <w:rsid w:val="00E12754"/>
    <w:rsid w:val="00E3042F"/>
    <w:rsid w:val="00E30ADA"/>
    <w:rsid w:val="00E37AAF"/>
    <w:rsid w:val="00E43389"/>
    <w:rsid w:val="00E44F37"/>
    <w:rsid w:val="00E51632"/>
    <w:rsid w:val="00E51E67"/>
    <w:rsid w:val="00E6174B"/>
    <w:rsid w:val="00E67214"/>
    <w:rsid w:val="00E674D3"/>
    <w:rsid w:val="00E67684"/>
    <w:rsid w:val="00E70FD0"/>
    <w:rsid w:val="00E84A52"/>
    <w:rsid w:val="00E85E7E"/>
    <w:rsid w:val="00E865F5"/>
    <w:rsid w:val="00E90571"/>
    <w:rsid w:val="00EA226F"/>
    <w:rsid w:val="00EB027F"/>
    <w:rsid w:val="00EB06BD"/>
    <w:rsid w:val="00EB1555"/>
    <w:rsid w:val="00EB5B68"/>
    <w:rsid w:val="00EB63C3"/>
    <w:rsid w:val="00EC6B8C"/>
    <w:rsid w:val="00ED40A7"/>
    <w:rsid w:val="00ED6815"/>
    <w:rsid w:val="00EE1A60"/>
    <w:rsid w:val="00EE23A6"/>
    <w:rsid w:val="00EF0DD0"/>
    <w:rsid w:val="00EF3787"/>
    <w:rsid w:val="00F03A0F"/>
    <w:rsid w:val="00F04A4F"/>
    <w:rsid w:val="00F0709A"/>
    <w:rsid w:val="00F07505"/>
    <w:rsid w:val="00F12AEF"/>
    <w:rsid w:val="00F43A97"/>
    <w:rsid w:val="00F457FD"/>
    <w:rsid w:val="00F51322"/>
    <w:rsid w:val="00F56BE5"/>
    <w:rsid w:val="00F56FDB"/>
    <w:rsid w:val="00F578C5"/>
    <w:rsid w:val="00F63B28"/>
    <w:rsid w:val="00F65934"/>
    <w:rsid w:val="00F73CAB"/>
    <w:rsid w:val="00F76623"/>
    <w:rsid w:val="00F84067"/>
    <w:rsid w:val="00F9181E"/>
    <w:rsid w:val="00F9500E"/>
    <w:rsid w:val="00FA0AEB"/>
    <w:rsid w:val="00FB70CE"/>
    <w:rsid w:val="00FC5F1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895A"/>
  <w15:docId w15:val="{085AD3C5-5FC1-41CE-81C6-19227410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182D55"/>
    <w:rPr>
      <w:vertAlign w:val="superscript"/>
    </w:rPr>
  </w:style>
  <w:style w:type="character" w:styleId="Hyperlink">
    <w:name w:val="Hyperlink"/>
    <w:basedOn w:val="DefaultParagraphFont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6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666B"/>
    <w:rPr>
      <w:rFonts w:ascii="Lucida Grande" w:eastAsia="BatangChe" w:hAnsi="Lucida Grande" w:cs="Lucida Grande"/>
      <w:sz w:val="18"/>
      <w:szCs w:val="18"/>
      <w:lang w:bidi="ar-SA"/>
    </w:rPr>
  </w:style>
  <w:style w:type="character" w:styleId="FollowedHyperlink">
    <w:name w:val="FollowedHyperlink"/>
    <w:basedOn w:val="DefaultParagraphFont"/>
    <w:semiHidden/>
    <w:unhideWhenUsed/>
    <w:rsid w:val="00562A1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A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rsid w:val="00B5783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CHLbold">
    <w:name w:val="ECC HL bold"/>
    <w:basedOn w:val="DefaultParagraphFont"/>
    <w:uiPriority w:val="1"/>
    <w:qFormat/>
    <w:rsid w:val="00E51E67"/>
    <w:rPr>
      <w:b/>
      <w:bCs/>
    </w:rPr>
  </w:style>
  <w:style w:type="character" w:customStyle="1" w:styleId="ECCParagraph">
    <w:name w:val="ECC Paragraph"/>
    <w:basedOn w:val="DefaultParagraphFont"/>
    <w:uiPriority w:val="1"/>
    <w:qFormat/>
    <w:rsid w:val="00E51E67"/>
    <w:rPr>
      <w:rFonts w:ascii="Arial" w:hAnsi="Arial"/>
      <w:noProof w:val="0"/>
      <w:sz w:val="20"/>
      <w:bdr w:val="none" w:sz="0" w:space="0" w:color="auto"/>
      <w:lang w:val="en-GB"/>
    </w:rPr>
  </w:style>
  <w:style w:type="character" w:styleId="LineNumber">
    <w:name w:val="line number"/>
    <w:basedOn w:val="DefaultParagraphFont"/>
    <w:semiHidden/>
    <w:unhideWhenUsed/>
    <w:rsid w:val="00D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34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3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ATA\Tel-U\APG19\APG19-2%20DG%20Chair\AI1.3\AI1.3%20INPut%20Documents\APG19-2-INP-11_KOR-WP4.docx" TargetMode="External"/><Relationship Id="rId18" Type="http://schemas.openxmlformats.org/officeDocument/2006/relationships/hyperlink" Target="http://www.apt.int/sites/default/files/2017/07/APG19-2-INP-52_CHN_WP4.docx" TargetMode="External"/><Relationship Id="rId26" Type="http://schemas.openxmlformats.org/officeDocument/2006/relationships/hyperlink" Target="file:///C:\DATA\Tel-U\APG19\APG19-2%20DG%20Chair\INF\apt-14072017-121446\APG19-2-INF-07_ATU.docx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aptsec.org/sites/default/files/2017/05/APG19-2-INF-01_Status_of_Preparation_of_Regional_Groups.docx" TargetMode="External"/><Relationship Id="rId34" Type="http://schemas.openxmlformats.org/officeDocument/2006/relationships/hyperlink" Target="file:///C:\DATA\Tel-U\APG19\APG19-2%20DG%20Chair\INF\apt-10072017-165205\APG19-2-INF-04_CITEL_Preparation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hyperlink" Target="http://www.apt.int/sites/default/files/2017/07/APG19-2-INP-37_IRN_WP4.docx" TargetMode="External"/><Relationship Id="rId20" Type="http://schemas.openxmlformats.org/officeDocument/2006/relationships/hyperlink" Target="file:///C:\DATA\Tel-U\APG19\APG19-2%20DG%20Chair\AI1.3\AI1.3%20INPut%20Documents\APG19-2-INP-58_J_WP4.docx" TargetMode="External"/><Relationship Id="rId29" Type="http://schemas.openxmlformats.org/officeDocument/2006/relationships/hyperlink" Target="file:///C:\DATA\Tel-U\APG19\APG19-2%20DG%20Chair\APG19-2-INP-31_AUS_WP4.docx" TargetMode="External"/><Relationship Id="rId41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dms_ties/itu-r/md/15/wp7b/c/R15-WP7B-C-0170!N19!MSW-E.docx" TargetMode="External"/><Relationship Id="rId24" Type="http://schemas.openxmlformats.org/officeDocument/2006/relationships/hyperlink" Target="file:///C:\DATA\Tel-U\APG19\APG19-2%20DG%20Chair\INF\apt-11072017-135928\._APG19-2-INF-04_CITEL_Preparation.pdf" TargetMode="External"/><Relationship Id="rId32" Type="http://schemas.openxmlformats.org/officeDocument/2006/relationships/hyperlink" Target="file:///C:\DATA\Tel-U\APG19\APG19-2%20DG%20Chair\APG19-2-INP-58_J_WP4.docx" TargetMode="External"/><Relationship Id="rId37" Type="http://schemas.openxmlformats.org/officeDocument/2006/relationships/hyperlink" Target="file:///C:\DATA\Tel-U\APG19\APG19-2%20DG%20Chair\INF\apt-14072017-121446\APG19-2-INF-14_CEPT_Preparation_for_WRC-19.pdf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DATA\Tel-U\APG19\APG19-2%20DG%20Chair\AI1.3\AI1.3%20INPut%20Documents\APG19-2-INP-31_AUS_WP4.docx" TargetMode="External"/><Relationship Id="rId23" Type="http://schemas.openxmlformats.org/officeDocument/2006/relationships/hyperlink" Target="file:///C:\DATA\Tel-U\APG19\APG19-2%20DG%20Chair\INF\apt-11072017-135928\._APG19-2-INF-03_ITU_BR_Preparation.pdf" TargetMode="External"/><Relationship Id="rId28" Type="http://schemas.openxmlformats.org/officeDocument/2006/relationships/hyperlink" Target="file:///C:\DATA\Tel-U\APG19\APG19-2%20DG%20Chair\APG19-2-INP-11_KOR-WP4.docx" TargetMode="External"/><Relationship Id="rId36" Type="http://schemas.openxmlformats.org/officeDocument/2006/relationships/hyperlink" Target="file:///C:\DATA\Tel-U\APG19\APG19-2%20DG%20Chair\INF\apt-10072017-165205\APG19-2-INF-07_ATU.docx" TargetMode="External"/><Relationship Id="rId10" Type="http://schemas.openxmlformats.org/officeDocument/2006/relationships/hyperlink" Target="https://www.itu.int/md/R15-WP7B-C-0170/en" TargetMode="External"/><Relationship Id="rId19" Type="http://schemas.openxmlformats.org/officeDocument/2006/relationships/hyperlink" Target="file:///C:\DATA\Tel-U\APG19\APG19-2%20DG%20Chair\AI1.3\AI1.3%20INPut%20Documents\APG19-2-INP-52_CHN_WP4.docx" TargetMode="External"/><Relationship Id="rId31" Type="http://schemas.openxmlformats.org/officeDocument/2006/relationships/hyperlink" Target="file:///C:\DATA\Tel-U\APG19\APG19-2%20DG%20Chair\APG19-2-INP-52_CHN_WP4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pt.int/sites/default/files/2017/07/APG19-2-INP-31_AUS_WP4.docx" TargetMode="External"/><Relationship Id="rId22" Type="http://schemas.openxmlformats.org/officeDocument/2006/relationships/hyperlink" Target="file:///C:\DATA\Tel-U\APG19\APG19-2%20DG%20Chair\INF\apt-11072017-135928\APG19-2-INF-02_ICAO.docx" TargetMode="External"/><Relationship Id="rId27" Type="http://schemas.openxmlformats.org/officeDocument/2006/relationships/hyperlink" Target="file:///C:\DATA\Tel-U\APG19\APG19-2%20DG%20Chair\INF\apt-14072017-121446\._APG19-2-INF-14_CEPT_Preparation_for_WRC-19.pdf" TargetMode="External"/><Relationship Id="rId30" Type="http://schemas.openxmlformats.org/officeDocument/2006/relationships/hyperlink" Target="file:///C:\DATA\Tel-U\APG19\APG19-2%20DG%20Chair\APG19-2-INP-37_IRN_WP4.docx" TargetMode="External"/><Relationship Id="rId35" Type="http://schemas.openxmlformats.org/officeDocument/2006/relationships/hyperlink" Target="file:///C:\DATA\Tel-U\APG19\APG19-2%20DG%20Chair\INF\apt-10072017-165205\APG19-2-INF-05_RCC.docx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itu.int/dms_ties/itu-r/md/15/wp7b/c/R15-WP7B-C-0170!N01!MSW-E.docx" TargetMode="External"/><Relationship Id="rId17" Type="http://schemas.openxmlformats.org/officeDocument/2006/relationships/hyperlink" Target="file:///C:\DATA\Tel-U\APG19\APG19-2%20DG%20Chair\AI1.3\AI1.3%20INPut%20Documents\APG19-2-INP-37_IRN_WP4.docx" TargetMode="External"/><Relationship Id="rId25" Type="http://schemas.openxmlformats.org/officeDocument/2006/relationships/hyperlink" Target="file:///C:\DATA\Tel-U\APG19\APG19-2%20DG%20Chair\INF\apt-11072017-135928\APG19-2-INF-05_RCC.docx" TargetMode="External"/><Relationship Id="rId33" Type="http://schemas.openxmlformats.org/officeDocument/2006/relationships/hyperlink" Target="http://www.apt.int/sites/default/files/2017/07/APG19-2-INF-02_ICAO.docx" TargetMode="External"/><Relationship Id="rId3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ftadi@telkomuniversit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B570-D9AA-4712-BB81-1DF38678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13356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http://www.itu.int/md/R00-CA-CIR-0201/en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Forhadul Parvez</cp:lastModifiedBy>
  <cp:revision>3</cp:revision>
  <cp:lastPrinted>2004-07-28T02:14:00Z</cp:lastPrinted>
  <dcterms:created xsi:type="dcterms:W3CDTF">2017-07-21T08:38:00Z</dcterms:created>
  <dcterms:modified xsi:type="dcterms:W3CDTF">2017-07-24T04:04:00Z</dcterms:modified>
</cp:coreProperties>
</file>