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73E4C0C3" w14:textId="77777777" w:rsidTr="007D7378">
        <w:trPr>
          <w:cantSplit/>
        </w:trPr>
        <w:tc>
          <w:tcPr>
            <w:tcW w:w="1399" w:type="dxa"/>
            <w:vMerge w:val="restart"/>
          </w:tcPr>
          <w:p w14:paraId="41AAFC28" w14:textId="77777777" w:rsidR="00CF3963" w:rsidRPr="00891D0B" w:rsidRDefault="00CF3963" w:rsidP="00017F67">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91D0B" w:rsidRDefault="00CF3963" w:rsidP="00017F67">
            <w:pPr>
              <w:jc w:val="both"/>
            </w:pPr>
            <w:r w:rsidRPr="00096326">
              <w:t>ASIA-PACIFIC TELECOMMUNITY</w:t>
            </w:r>
          </w:p>
        </w:tc>
        <w:tc>
          <w:tcPr>
            <w:tcW w:w="2700" w:type="dxa"/>
          </w:tcPr>
          <w:p w14:paraId="0D82F459" w14:textId="77777777" w:rsidR="00CF3963" w:rsidRPr="00096326" w:rsidRDefault="00CF3963" w:rsidP="00017F67">
            <w:pPr>
              <w:jc w:val="both"/>
              <w:rPr>
                <w:b/>
                <w:bCs/>
                <w:lang w:val="fr-FR"/>
              </w:rPr>
            </w:pPr>
            <w:r w:rsidRPr="00C15799">
              <w:rPr>
                <w:b/>
                <w:lang w:val="fr-FR"/>
              </w:rPr>
              <w:t>Document</w:t>
            </w:r>
            <w:r>
              <w:rPr>
                <w:b/>
                <w:lang w:val="fr-FR"/>
              </w:rPr>
              <w:t xml:space="preserve">: </w:t>
            </w:r>
          </w:p>
        </w:tc>
      </w:tr>
      <w:tr w:rsidR="00CF3963" w:rsidRPr="00C15799" w14:paraId="448FBFF1" w14:textId="77777777" w:rsidTr="007D7378">
        <w:trPr>
          <w:cantSplit/>
        </w:trPr>
        <w:tc>
          <w:tcPr>
            <w:tcW w:w="1399" w:type="dxa"/>
            <w:vMerge/>
          </w:tcPr>
          <w:p w14:paraId="29C3EF27" w14:textId="77777777" w:rsidR="00CF3963" w:rsidRPr="00891D0B" w:rsidRDefault="00CF3963" w:rsidP="00017F67">
            <w:pPr>
              <w:jc w:val="both"/>
            </w:pPr>
          </w:p>
        </w:tc>
        <w:tc>
          <w:tcPr>
            <w:tcW w:w="5720" w:type="dxa"/>
          </w:tcPr>
          <w:p w14:paraId="5CBA7DD0" w14:textId="77777777" w:rsidR="00CF3963" w:rsidRPr="00891D0B" w:rsidRDefault="00CF3963" w:rsidP="00017F67">
            <w:pPr>
              <w:spacing w:line="0" w:lineRule="atLeast"/>
              <w:jc w:val="both"/>
            </w:pPr>
            <w:r>
              <w:rPr>
                <w:b/>
              </w:rPr>
              <w:t>The 2nd Meeting of the APT Conference Preparatory  Group for WRC-19 (APG19-2)</w:t>
            </w:r>
          </w:p>
        </w:tc>
        <w:tc>
          <w:tcPr>
            <w:tcW w:w="2700" w:type="dxa"/>
          </w:tcPr>
          <w:p w14:paraId="79797BCF" w14:textId="6A804824" w:rsidR="00CF3963" w:rsidRPr="00C15799" w:rsidRDefault="00CF3963" w:rsidP="00017F67">
            <w:pPr>
              <w:jc w:val="both"/>
              <w:rPr>
                <w:b/>
                <w:bCs/>
                <w:lang w:val="fr-FR"/>
              </w:rPr>
            </w:pPr>
            <w:r>
              <w:rPr>
                <w:b/>
                <w:bCs/>
                <w:lang w:val="fr-FR"/>
              </w:rPr>
              <w:t>APG19-2/</w:t>
            </w:r>
            <w:r w:rsidR="00EB2046">
              <w:rPr>
                <w:b/>
                <w:bCs/>
                <w:lang w:val="fr-FR"/>
              </w:rPr>
              <w:t>OUT</w:t>
            </w:r>
            <w:r w:rsidR="00D13E64">
              <w:rPr>
                <w:b/>
                <w:bCs/>
                <w:lang w:val="fr-FR"/>
              </w:rPr>
              <w:t>-05</w:t>
            </w:r>
          </w:p>
        </w:tc>
      </w:tr>
      <w:tr w:rsidR="00CF3963" w:rsidRPr="00891D0B" w14:paraId="53A9E6D1" w14:textId="77777777" w:rsidTr="007D7378">
        <w:trPr>
          <w:cantSplit/>
          <w:trHeight w:val="219"/>
        </w:trPr>
        <w:tc>
          <w:tcPr>
            <w:tcW w:w="1399" w:type="dxa"/>
            <w:vMerge/>
          </w:tcPr>
          <w:p w14:paraId="59C3513F" w14:textId="77777777" w:rsidR="00CF3963" w:rsidRPr="00C15799" w:rsidRDefault="00CF3963" w:rsidP="00017F67">
            <w:pPr>
              <w:jc w:val="both"/>
              <w:rPr>
                <w:lang w:val="fr-FR"/>
              </w:rPr>
            </w:pPr>
          </w:p>
        </w:tc>
        <w:tc>
          <w:tcPr>
            <w:tcW w:w="5720" w:type="dxa"/>
          </w:tcPr>
          <w:p w14:paraId="3510CFC7" w14:textId="77777777" w:rsidR="00CF3963" w:rsidRPr="00891D0B" w:rsidRDefault="00CF3963" w:rsidP="00017F67">
            <w:pPr>
              <w:jc w:val="both"/>
            </w:pPr>
            <w:r>
              <w:t>17 – 21 July 2017</w:t>
            </w:r>
            <w:r w:rsidRPr="00891D0B">
              <w:t xml:space="preserve">, </w:t>
            </w:r>
            <w:r>
              <w:t>Bali, Republic of Indonesia</w:t>
            </w:r>
          </w:p>
        </w:tc>
        <w:tc>
          <w:tcPr>
            <w:tcW w:w="2700" w:type="dxa"/>
          </w:tcPr>
          <w:p w14:paraId="60FFE2BA" w14:textId="04E691F4" w:rsidR="00CF3963" w:rsidRPr="00712451" w:rsidRDefault="00EB2046" w:rsidP="00017F67">
            <w:pPr>
              <w:jc w:val="both"/>
              <w:rPr>
                <w:b/>
              </w:rPr>
            </w:pPr>
            <w:r>
              <w:rPr>
                <w:b/>
              </w:rPr>
              <w:t>21</w:t>
            </w:r>
            <w:r w:rsidR="00CF3963">
              <w:rPr>
                <w:b/>
              </w:rPr>
              <w:t xml:space="preserve"> July 2017</w:t>
            </w:r>
          </w:p>
        </w:tc>
      </w:tr>
    </w:tbl>
    <w:p w14:paraId="2E0E673C" w14:textId="77777777" w:rsidR="00D13D9D" w:rsidRPr="007673CA" w:rsidRDefault="00D13D9D" w:rsidP="00017F67">
      <w:pPr>
        <w:jc w:val="both"/>
        <w:rPr>
          <w:lang w:val="en-NZ" w:eastAsia="ko-KR"/>
        </w:rPr>
      </w:pPr>
    </w:p>
    <w:p w14:paraId="7DE0A182" w14:textId="77777777" w:rsidR="00311E8A" w:rsidRDefault="00311E8A" w:rsidP="00017F67">
      <w:pPr>
        <w:jc w:val="both"/>
        <w:rPr>
          <w:b/>
          <w:lang w:val="en-NZ"/>
        </w:rPr>
      </w:pPr>
    </w:p>
    <w:p w14:paraId="2E0E673D" w14:textId="0C27A2F5" w:rsidR="0072518B" w:rsidRPr="00CB7DD6" w:rsidRDefault="00FA0E13" w:rsidP="005E1C89">
      <w:pPr>
        <w:spacing w:after="120"/>
        <w:jc w:val="center"/>
        <w:rPr>
          <w:lang w:val="en-NZ"/>
        </w:rPr>
      </w:pPr>
      <w:r w:rsidRPr="00CB7DD6">
        <w:rPr>
          <w:lang w:val="en-NZ" w:eastAsia="ko-KR"/>
        </w:rPr>
        <w:t>Working Party 3</w:t>
      </w:r>
    </w:p>
    <w:p w14:paraId="2E0E6746" w14:textId="49D0EFD3" w:rsidR="00B64A60" w:rsidRPr="00311E8A" w:rsidRDefault="00B64A60" w:rsidP="005E1C89">
      <w:pPr>
        <w:spacing w:after="120"/>
        <w:jc w:val="center"/>
        <w:rPr>
          <w:b/>
          <w:bCs/>
          <w:caps/>
          <w:lang w:val="en-NZ"/>
        </w:rPr>
      </w:pPr>
      <w:r w:rsidRPr="00311E8A">
        <w:rPr>
          <w:b/>
          <w:bCs/>
          <w:caps/>
          <w:lang w:val="en-NZ"/>
        </w:rPr>
        <w:t xml:space="preserve">PRELIMINARY VIEWs on </w:t>
      </w:r>
      <w:r w:rsidR="004E6121">
        <w:rPr>
          <w:b/>
          <w:bCs/>
          <w:caps/>
          <w:lang w:val="en-NZ"/>
        </w:rPr>
        <w:t>WRC-19 agenda item 1.6</w:t>
      </w:r>
    </w:p>
    <w:p w14:paraId="2E0E6747" w14:textId="77777777" w:rsidR="00B64A60" w:rsidRDefault="00B64A60" w:rsidP="00017F67">
      <w:pPr>
        <w:jc w:val="both"/>
        <w:rPr>
          <w:lang w:val="en-NZ"/>
        </w:rPr>
      </w:pPr>
    </w:p>
    <w:p w14:paraId="12BAA38C" w14:textId="77777777" w:rsidR="00BE7EE0" w:rsidRDefault="00BE7EE0" w:rsidP="00017F67">
      <w:pPr>
        <w:jc w:val="both"/>
        <w:rPr>
          <w:b/>
          <w:lang w:val="en-NZ"/>
        </w:rPr>
      </w:pPr>
    </w:p>
    <w:p w14:paraId="2E0E6748" w14:textId="1A616296" w:rsidR="00B64A60" w:rsidRPr="00710333" w:rsidRDefault="00B64A60" w:rsidP="00017F67">
      <w:pPr>
        <w:jc w:val="both"/>
        <w:rPr>
          <w:lang w:val="en-NZ"/>
        </w:rPr>
      </w:pPr>
      <w:r w:rsidRPr="00710333">
        <w:rPr>
          <w:b/>
          <w:lang w:val="en-NZ"/>
        </w:rPr>
        <w:t>Agenda Item 1.</w:t>
      </w:r>
      <w:r w:rsidR="00BE7EE0">
        <w:rPr>
          <w:b/>
          <w:lang w:val="en-NZ"/>
        </w:rPr>
        <w:t>6</w:t>
      </w:r>
      <w:r w:rsidRPr="00710333">
        <w:rPr>
          <w:b/>
          <w:lang w:val="en-NZ"/>
        </w:rPr>
        <w:t xml:space="preserve">: </w:t>
      </w:r>
    </w:p>
    <w:p w14:paraId="7ED1B7C9" w14:textId="77777777" w:rsidR="00B64AFD" w:rsidRPr="00B64AFD" w:rsidRDefault="00B64AFD" w:rsidP="002D7573">
      <w:pPr>
        <w:spacing w:after="120"/>
        <w:jc w:val="both"/>
        <w:rPr>
          <w:i/>
          <w:lang w:val="en-NZ"/>
        </w:rPr>
      </w:pPr>
      <w:r w:rsidRPr="00B64AFD">
        <w:rPr>
          <w:i/>
          <w:iCs/>
          <w:lang w:val="en-NZ"/>
        </w:rPr>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B64AFD">
        <w:rPr>
          <w:b/>
          <w:bCs/>
          <w:i/>
          <w:iCs/>
          <w:lang w:val="en-NZ"/>
        </w:rPr>
        <w:t>159 (WRC-15)</w:t>
      </w:r>
      <w:r w:rsidRPr="00B64AFD">
        <w:rPr>
          <w:i/>
          <w:iCs/>
          <w:lang w:val="en-NZ"/>
        </w:rPr>
        <w:t>”</w:t>
      </w:r>
    </w:p>
    <w:p w14:paraId="2E0E674A" w14:textId="752694D2" w:rsidR="00B64A60" w:rsidRPr="00710333" w:rsidRDefault="00B64A60" w:rsidP="00017F67">
      <w:pPr>
        <w:jc w:val="both"/>
        <w:rPr>
          <w:lang w:val="en-NZ"/>
        </w:rPr>
      </w:pPr>
    </w:p>
    <w:p w14:paraId="2E0E674B" w14:textId="723C084D" w:rsidR="00B64A60" w:rsidRPr="0011420F" w:rsidRDefault="00B64A60" w:rsidP="00017F67">
      <w:pPr>
        <w:pStyle w:val="ListParagraph"/>
        <w:numPr>
          <w:ilvl w:val="0"/>
          <w:numId w:val="21"/>
        </w:numPr>
        <w:spacing w:after="120"/>
        <w:jc w:val="both"/>
        <w:rPr>
          <w:b/>
          <w:lang w:val="en-NZ" w:eastAsia="ko-KR"/>
        </w:rPr>
      </w:pPr>
      <w:r w:rsidRPr="0011420F">
        <w:rPr>
          <w:b/>
          <w:lang w:val="en-NZ" w:eastAsia="ko-KR"/>
        </w:rPr>
        <w:t>Background</w:t>
      </w:r>
    </w:p>
    <w:p w14:paraId="2E0E6751" w14:textId="586789CC" w:rsidR="00B64A60" w:rsidRDefault="0011420F" w:rsidP="00017F67">
      <w:pPr>
        <w:spacing w:after="120"/>
        <w:jc w:val="both"/>
      </w:pPr>
      <w:r w:rsidRPr="0011420F">
        <w:t xml:space="preserve">Resolution </w:t>
      </w:r>
      <w:r w:rsidRPr="0011420F">
        <w:rPr>
          <w:b/>
          <w:bCs/>
        </w:rPr>
        <w:t>159 (WRC</w:t>
      </w:r>
      <w:r w:rsidRPr="0011420F">
        <w:rPr>
          <w:b/>
          <w:bCs/>
        </w:rPr>
        <w:noBreakHyphen/>
        <w:t>15)</w:t>
      </w:r>
      <w:r w:rsidR="006B06AC">
        <w:rPr>
          <w:bCs/>
        </w:rPr>
        <w:t xml:space="preserve"> is entitle</w:t>
      </w:r>
      <w:r w:rsidR="008353FB">
        <w:rPr>
          <w:bCs/>
        </w:rPr>
        <w:t>d</w:t>
      </w:r>
      <w:r w:rsidR="00D872A0">
        <w:rPr>
          <w:bCs/>
        </w:rPr>
        <w:t xml:space="preserve"> </w:t>
      </w:r>
      <w:r w:rsidR="006B06AC" w:rsidRPr="006B06AC">
        <w:rPr>
          <w:bCs/>
        </w:rPr>
        <w:t>“</w:t>
      </w:r>
      <w:r w:rsidRPr="006B06AC">
        <w:t>Studies of technical, operational issues and regulatory provisions for non</w:t>
      </w:r>
      <w:r w:rsidRPr="006B06AC">
        <w:noBreakHyphen/>
        <w:t>geostationary fixed-satellite services satellite systems in the frequency bands 37.5-39.5 GHz (space</w:t>
      </w:r>
      <w:r w:rsidRPr="006B06AC">
        <w:noBreakHyphen/>
        <w:t>to-Earth), 39.5</w:t>
      </w:r>
      <w:r w:rsidRPr="006B06AC">
        <w:noBreakHyphen/>
        <w:t>42.5 GHz (space</w:t>
      </w:r>
      <w:r w:rsidRPr="006B06AC">
        <w:noBreakHyphen/>
        <w:t>to-Earth), 47.2</w:t>
      </w:r>
      <w:r w:rsidRPr="006B06AC">
        <w:noBreakHyphen/>
        <w:t>50.2 GHz (Earth</w:t>
      </w:r>
      <w:r w:rsidRPr="006B06AC">
        <w:noBreakHyphen/>
        <w:t>to-space) and 50.4-51.4 GHz (Earth-to-space)</w:t>
      </w:r>
      <w:r w:rsidR="006B06AC" w:rsidRPr="006B06AC">
        <w:t>”</w:t>
      </w:r>
      <w:r w:rsidRPr="006B06AC">
        <w:t>.</w:t>
      </w:r>
      <w:r>
        <w:t xml:space="preserve"> </w:t>
      </w:r>
      <w:r w:rsidR="006B06AC">
        <w:t xml:space="preserve"> The principal requirement </w:t>
      </w:r>
      <w:r w:rsidR="00C36EB4">
        <w:t>is for</w:t>
      </w:r>
      <w:r w:rsidR="00847166">
        <w:t xml:space="preserve"> the ITU-R </w:t>
      </w:r>
      <w:r w:rsidR="006B06AC">
        <w:t xml:space="preserve">to conduct “studies </w:t>
      </w:r>
      <w:r w:rsidR="006B06AC" w:rsidRPr="006B06AC">
        <w:t>of technical and operational issues and regulatory provisions for the operation of non-GSO FSS satellite systems in the frequency bands 37.5-42.5 GHz (space-to-Earth) and 47.2</w:t>
      </w:r>
      <w:r w:rsidR="006B06AC" w:rsidRPr="006B06AC">
        <w:noBreakHyphen/>
        <w:t>48.9 GHz (limited to feeder links only), 48.9-50.2 GHz and 50.4-51.4 GHz (all Earth-to-space), while ensuring protection of GSO satellite networks in the FSS, MSS and BSS, without limiting or unduly constraining the future development of GSO networks across those bands, and without modifying the provisions of Article </w:t>
      </w:r>
      <w:r w:rsidR="006B06AC" w:rsidRPr="006B06AC">
        <w:rPr>
          <w:b/>
        </w:rPr>
        <w:t>21</w:t>
      </w:r>
      <w:r w:rsidR="006B06AC" w:rsidRPr="006B06AC">
        <w:t>”.</w:t>
      </w:r>
      <w:r w:rsidR="006B06AC">
        <w:t xml:space="preserve">  </w:t>
      </w:r>
      <w:r w:rsidR="00AC148B">
        <w:t>P</w:t>
      </w:r>
      <w:r w:rsidR="006B06AC" w:rsidRPr="00AC148B">
        <w:t xml:space="preserve">rotection of </w:t>
      </w:r>
      <w:r w:rsidR="00AC148B">
        <w:t>EESS (passive) and RAS is also required.</w:t>
      </w:r>
    </w:p>
    <w:p w14:paraId="3ED57252" w14:textId="77777777" w:rsidR="002A4B9D" w:rsidRPr="00E51128" w:rsidRDefault="002A4B9D" w:rsidP="00017F67">
      <w:pPr>
        <w:spacing w:after="120"/>
        <w:jc w:val="both"/>
        <w:rPr>
          <w:rFonts w:eastAsia="Batang"/>
          <w:u w:val="single"/>
        </w:rPr>
      </w:pPr>
      <w:r>
        <w:rPr>
          <w:rFonts w:eastAsia="Batang"/>
          <w:u w:val="single"/>
        </w:rPr>
        <w:t xml:space="preserve">Sharing Between </w:t>
      </w:r>
      <w:r w:rsidRPr="00E51128">
        <w:rPr>
          <w:rFonts w:eastAsia="Batang"/>
          <w:u w:val="single"/>
        </w:rPr>
        <w:t xml:space="preserve">Non-GSO and GSO </w:t>
      </w:r>
    </w:p>
    <w:p w14:paraId="1D8F9712" w14:textId="7FA53856" w:rsidR="002A4B9D" w:rsidRDefault="002A4B9D" w:rsidP="00017F67">
      <w:pPr>
        <w:spacing w:after="120"/>
        <w:jc w:val="both"/>
        <w:rPr>
          <w:rFonts w:eastAsia="Batang"/>
        </w:rPr>
      </w:pPr>
      <w:r w:rsidRPr="005D3D8A">
        <w:rPr>
          <w:rFonts w:eastAsia="Batang"/>
        </w:rPr>
        <w:t xml:space="preserve">Resolution </w:t>
      </w:r>
      <w:r w:rsidRPr="00591EA9">
        <w:rPr>
          <w:rFonts w:eastAsia="Batang"/>
          <w:b/>
        </w:rPr>
        <w:t>159 (WRC-15)</w:t>
      </w:r>
      <w:r w:rsidRPr="005D3D8A">
        <w:rPr>
          <w:rFonts w:eastAsia="Batang"/>
        </w:rPr>
        <w:t xml:space="preserve"> invites the ITU-R to study technical and operational issues and regulatory provisions to enable the sharing and operation of non-GSO systems and GSO networks.</w:t>
      </w:r>
      <w:r>
        <w:rPr>
          <w:rFonts w:eastAsia="Batang"/>
        </w:rPr>
        <w:t xml:space="preserve"> </w:t>
      </w:r>
      <w:r w:rsidRPr="005D3D8A">
        <w:rPr>
          <w:rFonts w:eastAsia="Batang"/>
          <w:b/>
        </w:rPr>
        <w:t xml:space="preserve"> </w:t>
      </w:r>
      <w:r w:rsidRPr="005D3D8A">
        <w:rPr>
          <w:rFonts w:eastAsia="Batang"/>
        </w:rPr>
        <w:t xml:space="preserve">Working Party 4A </w:t>
      </w:r>
      <w:r>
        <w:rPr>
          <w:rFonts w:eastAsia="Batang"/>
        </w:rPr>
        <w:t xml:space="preserve">is undertaking </w:t>
      </w:r>
      <w:r w:rsidRPr="005D3D8A">
        <w:rPr>
          <w:rFonts w:eastAsia="Batang"/>
        </w:rPr>
        <w:t xml:space="preserve">development of a </w:t>
      </w:r>
      <w:r>
        <w:rPr>
          <w:rFonts w:eastAsia="Batang"/>
        </w:rPr>
        <w:t>w</w:t>
      </w:r>
      <w:r w:rsidRPr="005D3D8A">
        <w:rPr>
          <w:rFonts w:eastAsia="Batang"/>
        </w:rPr>
        <w:t xml:space="preserve">orking </w:t>
      </w:r>
      <w:r>
        <w:rPr>
          <w:rFonts w:eastAsia="Batang"/>
        </w:rPr>
        <w:t>d</w:t>
      </w:r>
      <w:r w:rsidRPr="005D3D8A">
        <w:rPr>
          <w:rFonts w:eastAsia="Batang"/>
        </w:rPr>
        <w:t>ocument towards a preliminary draft new Recommendation/Report on technical and regulatory provisions for 50/40 GHz</w:t>
      </w:r>
      <w:r>
        <w:rPr>
          <w:rFonts w:eastAsia="Batang"/>
        </w:rPr>
        <w:t xml:space="preserve"> (V-band) GSO/non-GSO sharing.</w:t>
      </w:r>
    </w:p>
    <w:p w14:paraId="1DE1BB83" w14:textId="3C48D21C" w:rsidR="002A4B9D" w:rsidRDefault="002A4B9D" w:rsidP="00017F67">
      <w:pPr>
        <w:spacing w:after="120"/>
        <w:jc w:val="both"/>
        <w:rPr>
          <w:rFonts w:eastAsia="Batang"/>
        </w:rPr>
      </w:pPr>
      <w:r w:rsidRPr="005D3D8A">
        <w:rPr>
          <w:rFonts w:eastAsia="Batang"/>
        </w:rPr>
        <w:t>The objective of th</w:t>
      </w:r>
      <w:r>
        <w:rPr>
          <w:rFonts w:eastAsia="Batang"/>
        </w:rPr>
        <w:t>e working d</w:t>
      </w:r>
      <w:r w:rsidRPr="005D3D8A">
        <w:rPr>
          <w:rFonts w:eastAsia="Batang"/>
        </w:rPr>
        <w:t xml:space="preserve">ocument is to enable use of these frequency bands by non-GSO systems </w:t>
      </w:r>
      <w:r>
        <w:rPr>
          <w:rFonts w:eastAsia="Batang"/>
        </w:rPr>
        <w:t>while</w:t>
      </w:r>
      <w:r w:rsidRPr="005D3D8A">
        <w:rPr>
          <w:rFonts w:eastAsia="Batang"/>
        </w:rPr>
        <w:t xml:space="preserve"> ensur</w:t>
      </w:r>
      <w:r>
        <w:rPr>
          <w:rFonts w:eastAsia="Batang"/>
        </w:rPr>
        <w:t>ing</w:t>
      </w:r>
      <w:r w:rsidRPr="005D3D8A">
        <w:rPr>
          <w:rFonts w:eastAsia="Batang"/>
        </w:rPr>
        <w:t xml:space="preserve"> appropriate protection of GSO FSS networks, thereby significantly enhancing spectrum use.</w:t>
      </w:r>
      <w:r w:rsidRPr="005D3D8A">
        <w:t xml:space="preserve">  </w:t>
      </w:r>
      <w:r w:rsidRPr="005D3D8A">
        <w:rPr>
          <w:rFonts w:eastAsia="Batang"/>
        </w:rPr>
        <w:t>Th</w:t>
      </w:r>
      <w:r>
        <w:rPr>
          <w:rFonts w:eastAsia="Batang"/>
        </w:rPr>
        <w:t>e</w:t>
      </w:r>
      <w:r w:rsidRPr="005D3D8A">
        <w:rPr>
          <w:rFonts w:eastAsia="Batang"/>
        </w:rPr>
        <w:t xml:space="preserve"> </w:t>
      </w:r>
      <w:r>
        <w:rPr>
          <w:rFonts w:eastAsia="Batang"/>
        </w:rPr>
        <w:t xml:space="preserve">working </w:t>
      </w:r>
      <w:r w:rsidRPr="005D3D8A">
        <w:rPr>
          <w:rFonts w:eastAsia="Batang"/>
        </w:rPr>
        <w:t xml:space="preserve">document </w:t>
      </w:r>
      <w:r>
        <w:rPr>
          <w:rFonts w:eastAsia="Batang"/>
        </w:rPr>
        <w:t xml:space="preserve">currently </w:t>
      </w:r>
      <w:r w:rsidRPr="005D3D8A">
        <w:rPr>
          <w:rFonts w:eastAsia="Batang"/>
        </w:rPr>
        <w:t xml:space="preserve">presents six studies of </w:t>
      </w:r>
      <w:r>
        <w:rPr>
          <w:rFonts w:eastAsia="Batang"/>
        </w:rPr>
        <w:t xml:space="preserve">sharing </w:t>
      </w:r>
      <w:r w:rsidRPr="005D3D8A">
        <w:rPr>
          <w:rFonts w:eastAsia="Batang"/>
        </w:rPr>
        <w:t xml:space="preserve">considerations and </w:t>
      </w:r>
      <w:r>
        <w:rPr>
          <w:rFonts w:eastAsia="Batang"/>
        </w:rPr>
        <w:t xml:space="preserve">discussions of these sharing </w:t>
      </w:r>
      <w:r w:rsidRPr="005D3D8A">
        <w:rPr>
          <w:rFonts w:eastAsia="Batang"/>
        </w:rPr>
        <w:t xml:space="preserve">considerations </w:t>
      </w:r>
      <w:r>
        <w:rPr>
          <w:rFonts w:eastAsia="Batang"/>
        </w:rPr>
        <w:t>to</w:t>
      </w:r>
      <w:r w:rsidRPr="005D3D8A">
        <w:rPr>
          <w:rFonts w:eastAsia="Batang"/>
        </w:rPr>
        <w:t xml:space="preserve"> be </w:t>
      </w:r>
      <w:r>
        <w:rPr>
          <w:rFonts w:eastAsia="Batang"/>
        </w:rPr>
        <w:t>considered</w:t>
      </w:r>
      <w:r w:rsidRPr="005D3D8A">
        <w:rPr>
          <w:rFonts w:eastAsia="Batang"/>
        </w:rPr>
        <w:t xml:space="preserve"> </w:t>
      </w:r>
      <w:r>
        <w:rPr>
          <w:rFonts w:eastAsia="Batang"/>
        </w:rPr>
        <w:t>in</w:t>
      </w:r>
      <w:r w:rsidRPr="005D3D8A">
        <w:rPr>
          <w:rFonts w:eastAsia="Batang"/>
        </w:rPr>
        <w:t xml:space="preserve"> the development of </w:t>
      </w:r>
      <w:proofErr w:type="spellStart"/>
      <w:r w:rsidRPr="005D3D8A">
        <w:rPr>
          <w:rFonts w:eastAsia="Batang"/>
        </w:rPr>
        <w:t>epfd</w:t>
      </w:r>
      <w:proofErr w:type="spellEnd"/>
      <w:r w:rsidRPr="005D3D8A">
        <w:rPr>
          <w:rFonts w:eastAsia="Batang"/>
        </w:rPr>
        <w:t xml:space="preserve"> masks in the 50/40 GHz bands.  Studies </w:t>
      </w:r>
      <w:r>
        <w:rPr>
          <w:rFonts w:eastAsia="Batang"/>
        </w:rPr>
        <w:t xml:space="preserve">currently </w:t>
      </w:r>
      <w:r w:rsidRPr="005D3D8A">
        <w:rPr>
          <w:rFonts w:eastAsia="Batang"/>
        </w:rPr>
        <w:t>show that sharing between non-GSO and GSO systems is possible while observin</w:t>
      </w:r>
      <w:r>
        <w:rPr>
          <w:rFonts w:eastAsia="Batang"/>
        </w:rPr>
        <w:t>g the GSO protection criteria.</w:t>
      </w:r>
    </w:p>
    <w:p w14:paraId="0E998A25" w14:textId="77777777" w:rsidR="00CB012C" w:rsidRPr="00021FD4" w:rsidRDefault="00CB012C" w:rsidP="00017F67">
      <w:pPr>
        <w:spacing w:after="120"/>
        <w:jc w:val="both"/>
      </w:pPr>
      <w:r w:rsidRPr="00021FD4">
        <w:t xml:space="preserve">ITU-R studies have shown that in the 50/40 GHz bands, propagation impairments such as rain, cloud and gaseous absorption exist that can substantially affect FSS satellite links. Not only are rain fade and gaseous absorption propagation effects more severe than in lower frequency bands, but effects such as cloud attenuation can also have a significant impact to the FSS intra-service sharing environment in the 50/40 GHz frequency bands. Thus, higher margins of atmospheric fade can exist in evaluating sharing criteria between non-GSO and GSO systems in the 50/40 GHz frequency range. The studies demonstrated that since propagation impairments can be significant </w:t>
      </w:r>
      <w:r w:rsidRPr="00021FD4">
        <w:lastRenderedPageBreak/>
        <w:t>for FSS operations in the 50/40 GHz bands, these impairments should be taken into account for spectrally efficient sharing analyses on both the wanted and interfering paths.</w:t>
      </w:r>
    </w:p>
    <w:p w14:paraId="1AAA9ACA" w14:textId="77777777" w:rsidR="00CE46BE" w:rsidRDefault="00CE46BE" w:rsidP="00017F67">
      <w:pPr>
        <w:spacing w:after="120"/>
        <w:jc w:val="both"/>
        <w:rPr>
          <w:rFonts w:eastAsia="Batang"/>
          <w:u w:val="single"/>
        </w:rPr>
      </w:pPr>
      <w:r w:rsidRPr="00E51128">
        <w:rPr>
          <w:rFonts w:eastAsia="Batang"/>
          <w:u w:val="single"/>
        </w:rPr>
        <w:t>FSS Characteristics</w:t>
      </w:r>
    </w:p>
    <w:p w14:paraId="1E00F08E" w14:textId="36DADF00" w:rsidR="00CE46BE" w:rsidRDefault="00CE46BE" w:rsidP="00017F67">
      <w:pPr>
        <w:spacing w:after="120"/>
        <w:jc w:val="both"/>
        <w:rPr>
          <w:rFonts w:eastAsia="Batang"/>
        </w:rPr>
      </w:pPr>
      <w:r>
        <w:rPr>
          <w:rFonts w:eastAsia="Batang"/>
        </w:rPr>
        <w:t>T</w:t>
      </w:r>
      <w:r w:rsidRPr="005D3D8A">
        <w:rPr>
          <w:rFonts w:eastAsia="Batang"/>
        </w:rPr>
        <w:t xml:space="preserve">here are currently no ITU-R defined protection requirements for 50/40 GHz (V-band) GSO networks.  Work is being undertaken within WP 4A to define </w:t>
      </w:r>
      <w:r>
        <w:rPr>
          <w:rFonts w:eastAsia="Batang"/>
        </w:rPr>
        <w:t>suitable</w:t>
      </w:r>
      <w:r w:rsidRPr="005D3D8A">
        <w:rPr>
          <w:rFonts w:eastAsia="Batang"/>
        </w:rPr>
        <w:t xml:space="preserve"> parameters</w:t>
      </w:r>
      <w:r>
        <w:rPr>
          <w:rFonts w:eastAsia="Batang"/>
        </w:rPr>
        <w:t xml:space="preserve"> so sharing studies </w:t>
      </w:r>
      <w:r w:rsidRPr="005D3D8A">
        <w:rPr>
          <w:rFonts w:eastAsia="Batang"/>
        </w:rPr>
        <w:t>between FSS systems in the 50/40 GHz band</w:t>
      </w:r>
      <w:r>
        <w:rPr>
          <w:rFonts w:eastAsia="Batang"/>
        </w:rPr>
        <w:t xml:space="preserve"> can be completed</w:t>
      </w:r>
      <w:r w:rsidRPr="005D3D8A">
        <w:rPr>
          <w:rFonts w:eastAsia="Batang"/>
        </w:rPr>
        <w:t>.</w:t>
      </w:r>
    </w:p>
    <w:p w14:paraId="54FCCF4C" w14:textId="77777777" w:rsidR="00CE46BE" w:rsidRDefault="00CE46BE" w:rsidP="00017F67">
      <w:pPr>
        <w:spacing w:after="120"/>
        <w:jc w:val="both"/>
      </w:pPr>
      <w:r>
        <w:t>A w</w:t>
      </w:r>
      <w:r w:rsidRPr="00E51128">
        <w:t>orking document towards a preliminary draft new Recommendation ITU-R S</w:t>
      </w:r>
      <w:proofErr w:type="gramStart"/>
      <w:r w:rsidRPr="00E51128">
        <w:t>.[</w:t>
      </w:r>
      <w:proofErr w:type="gramEnd"/>
      <w:r w:rsidRPr="00E51128">
        <w:t>50/40 GHZ FSS SHARING METHODOLOGY]</w:t>
      </w:r>
      <w:r>
        <w:t xml:space="preserve"> is under development. </w:t>
      </w:r>
      <w:r w:rsidRPr="005D3D8A">
        <w:t>Th</w:t>
      </w:r>
      <w:r>
        <w:t>is</w:t>
      </w:r>
      <w:r w:rsidRPr="005D3D8A">
        <w:t xml:space="preserve"> new Recommendation </w:t>
      </w:r>
      <w:r>
        <w:t xml:space="preserve">will </w:t>
      </w:r>
      <w:r w:rsidRPr="005D3D8A">
        <w:t xml:space="preserve">consider the unique properties of the 50/40 GHz band to establish appropriate protection criteria and maximum permissible levels of interference for emissions between FSS networks (GSO/FSS; non-GSO/FSS; GSO and non-GSO/MSS feeder links) operating co-frequency in </w:t>
      </w:r>
      <w:r>
        <w:t>the 50/40 GHz frequency bands.</w:t>
      </w:r>
    </w:p>
    <w:p w14:paraId="26C9204D" w14:textId="7CB4EF4E" w:rsidR="002A4B9D" w:rsidRDefault="002A4B9D" w:rsidP="00017F67">
      <w:pPr>
        <w:spacing w:after="120"/>
        <w:jc w:val="both"/>
        <w:rPr>
          <w:rFonts w:eastAsia="Batang"/>
          <w:u w:val="single"/>
        </w:rPr>
      </w:pPr>
      <w:r>
        <w:rPr>
          <w:rFonts w:eastAsia="Batang"/>
          <w:u w:val="single"/>
        </w:rPr>
        <w:t xml:space="preserve">Compatibility with </w:t>
      </w:r>
      <w:r w:rsidRPr="00C65139">
        <w:rPr>
          <w:rFonts w:eastAsia="Batang"/>
          <w:u w:val="single"/>
        </w:rPr>
        <w:t xml:space="preserve">EESS (Passive) and RAS </w:t>
      </w:r>
    </w:p>
    <w:p w14:paraId="0CE900D1" w14:textId="17422149" w:rsidR="002A4B9D" w:rsidRDefault="002A4B9D" w:rsidP="00017F67">
      <w:pPr>
        <w:spacing w:after="120"/>
        <w:jc w:val="both"/>
      </w:pPr>
      <w:r w:rsidRPr="005D3D8A">
        <w:rPr>
          <w:rFonts w:eastAsia="Batang"/>
        </w:rPr>
        <w:t>Working Party 4A</w:t>
      </w:r>
      <w:r w:rsidR="00CB012C">
        <w:rPr>
          <w:rFonts w:eastAsia="Batang"/>
        </w:rPr>
        <w:t xml:space="preserve"> has</w:t>
      </w:r>
      <w:r w:rsidRPr="005D3D8A">
        <w:rPr>
          <w:rFonts w:eastAsia="Batang"/>
        </w:rPr>
        <w:t xml:space="preserve"> </w:t>
      </w:r>
      <w:r>
        <w:t>received</w:t>
      </w:r>
      <w:r w:rsidRPr="005D3D8A">
        <w:t xml:space="preserve"> contributions on sharing between FSS and EESS (passive) and RAS.  In the discussion o</w:t>
      </w:r>
      <w:r>
        <w:t>n</w:t>
      </w:r>
      <w:r w:rsidRPr="005D3D8A">
        <w:t xml:space="preserve"> the studies, it was noted that a </w:t>
      </w:r>
      <w:r>
        <w:t>non-</w:t>
      </w:r>
      <w:r w:rsidRPr="005D3D8A">
        <w:t xml:space="preserve">GSO earth station deployment model is </w:t>
      </w:r>
      <w:r>
        <w:t>required</w:t>
      </w:r>
      <w:r w:rsidRPr="005D3D8A">
        <w:t xml:space="preserve"> to determine the amount of interference that an EESS (passive) sensor may receive</w:t>
      </w:r>
      <w:r>
        <w:t>.  F</w:t>
      </w:r>
      <w:r w:rsidRPr="005D3D8A">
        <w:t xml:space="preserve">urther studies may need to be conducted with representations of non-GSO system operations.  </w:t>
      </w:r>
    </w:p>
    <w:p w14:paraId="66A7626A" w14:textId="7051CC83" w:rsidR="00D872A0" w:rsidRPr="006738E6" w:rsidRDefault="00EA1B47" w:rsidP="00017F67">
      <w:pPr>
        <w:spacing w:after="120"/>
        <w:jc w:val="both"/>
        <w:rPr>
          <w:u w:val="single"/>
        </w:rPr>
      </w:pPr>
      <w:r w:rsidRPr="006738E6">
        <w:rPr>
          <w:u w:val="single"/>
        </w:rPr>
        <w:t>ITU-R Recommendations</w:t>
      </w:r>
      <w:r w:rsidR="003478D5" w:rsidRPr="006738E6">
        <w:rPr>
          <w:u w:val="single"/>
        </w:rPr>
        <w:t xml:space="preserve"> &amp; Reports</w:t>
      </w:r>
    </w:p>
    <w:p w14:paraId="145F3DC1" w14:textId="0B791B70" w:rsidR="004E6121" w:rsidRDefault="00307824" w:rsidP="00017F67">
      <w:pPr>
        <w:jc w:val="both"/>
      </w:pPr>
      <w:r>
        <w:t>WD-</w:t>
      </w:r>
      <w:r w:rsidR="004E6121">
        <w:t>PDN</w:t>
      </w:r>
      <w:r w:rsidR="003478D5">
        <w:t>R</w:t>
      </w:r>
      <w:r w:rsidR="004E6121">
        <w:t>.</w:t>
      </w:r>
      <w:r w:rsidR="004E6121" w:rsidRPr="00E51128">
        <w:t xml:space="preserve"> ITU-R S</w:t>
      </w:r>
      <w:proofErr w:type="gramStart"/>
      <w:r w:rsidR="004E6121" w:rsidRPr="00E51128">
        <w:t>.[</w:t>
      </w:r>
      <w:proofErr w:type="gramEnd"/>
      <w:r w:rsidR="004E6121" w:rsidRPr="00E51128">
        <w:t>50/40 GHZ FSS SHARING METHODOLOGY]</w:t>
      </w:r>
    </w:p>
    <w:p w14:paraId="6643DB3C" w14:textId="30C7287A" w:rsidR="00EA1B47" w:rsidRDefault="004E6121" w:rsidP="00017F67">
      <w:pPr>
        <w:jc w:val="both"/>
      </w:pPr>
      <w:r>
        <w:rPr>
          <w:rFonts w:eastAsia="Batang"/>
        </w:rPr>
        <w:t>WD</w:t>
      </w:r>
      <w:r w:rsidR="00307824">
        <w:rPr>
          <w:rFonts w:eastAsia="Batang"/>
        </w:rPr>
        <w:t>-</w:t>
      </w:r>
      <w:r>
        <w:rPr>
          <w:rFonts w:eastAsia="Batang"/>
        </w:rPr>
        <w:t>PDN</w:t>
      </w:r>
      <w:r w:rsidR="00307824">
        <w:rPr>
          <w:rFonts w:eastAsia="Batang"/>
        </w:rPr>
        <w:t xml:space="preserve"> Report</w:t>
      </w:r>
      <w:r w:rsidRPr="005D3D8A">
        <w:rPr>
          <w:rFonts w:eastAsia="Batang"/>
        </w:rPr>
        <w:t xml:space="preserve"> on </w:t>
      </w:r>
      <w:proofErr w:type="gramStart"/>
      <w:r w:rsidR="00307824">
        <w:rPr>
          <w:rFonts w:eastAsia="Batang"/>
        </w:rPr>
        <w:t>Sharing</w:t>
      </w:r>
      <w:proofErr w:type="gramEnd"/>
      <w:r w:rsidR="00307824">
        <w:rPr>
          <w:rFonts w:eastAsia="Batang"/>
        </w:rPr>
        <w:t xml:space="preserve"> between</w:t>
      </w:r>
      <w:r w:rsidRPr="005D3D8A">
        <w:rPr>
          <w:rFonts w:eastAsia="Batang"/>
        </w:rPr>
        <w:t xml:space="preserve"> 50/40 GHz</w:t>
      </w:r>
      <w:r>
        <w:rPr>
          <w:rFonts w:eastAsia="Batang"/>
        </w:rPr>
        <w:t xml:space="preserve"> GSO</w:t>
      </w:r>
      <w:r w:rsidR="00307824">
        <w:rPr>
          <w:rFonts w:eastAsia="Batang"/>
        </w:rPr>
        <w:t xml:space="preserve"> and </w:t>
      </w:r>
      <w:r>
        <w:rPr>
          <w:rFonts w:eastAsia="Batang"/>
        </w:rPr>
        <w:t>non</w:t>
      </w:r>
      <w:r>
        <w:rPr>
          <w:rFonts w:eastAsia="Batang"/>
        </w:rPr>
        <w:noBreakHyphen/>
      </w:r>
      <w:r w:rsidR="00307824">
        <w:rPr>
          <w:rFonts w:eastAsia="Batang"/>
        </w:rPr>
        <w:t>GSO systems</w:t>
      </w:r>
    </w:p>
    <w:p w14:paraId="124418B9" w14:textId="3D7CEAE5" w:rsidR="0011420F" w:rsidRDefault="004E6121" w:rsidP="00017F67">
      <w:pPr>
        <w:spacing w:after="120"/>
        <w:jc w:val="both"/>
      </w:pPr>
      <w:r w:rsidRPr="004E6121">
        <w:t>WD</w:t>
      </w:r>
      <w:r w:rsidR="00307824">
        <w:t>-</w:t>
      </w:r>
      <w:r w:rsidR="00043111">
        <w:t>[</w:t>
      </w:r>
      <w:r w:rsidRPr="004E6121">
        <w:t>PDN</w:t>
      </w:r>
      <w:r w:rsidR="00307824">
        <w:t xml:space="preserve"> </w:t>
      </w:r>
      <w:r w:rsidRPr="004E6121">
        <w:t>R</w:t>
      </w:r>
      <w:r w:rsidR="00307824">
        <w:t>eport</w:t>
      </w:r>
      <w:r w:rsidR="00043111">
        <w:t>]</w:t>
      </w:r>
      <w:r w:rsidRPr="004E6121">
        <w:t xml:space="preserve"> on Protection of EESS (passive) and RAS Systems</w:t>
      </w:r>
    </w:p>
    <w:p w14:paraId="7C4C2DC7" w14:textId="77777777" w:rsidR="00017F67" w:rsidRDefault="00017F67" w:rsidP="00017F67">
      <w:pPr>
        <w:spacing w:after="120"/>
        <w:jc w:val="both"/>
        <w:rPr>
          <w:lang w:val="en-NZ"/>
        </w:rPr>
      </w:pPr>
    </w:p>
    <w:p w14:paraId="2E0E6752" w14:textId="77777777" w:rsidR="00B64A60" w:rsidRPr="00710333" w:rsidRDefault="00B64A60" w:rsidP="00017F67">
      <w:pPr>
        <w:spacing w:after="120"/>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14:paraId="73154DE8" w14:textId="77777777" w:rsidR="006738E6" w:rsidRDefault="00B64A60" w:rsidP="00017F67">
      <w:pPr>
        <w:spacing w:after="120"/>
        <w:jc w:val="both"/>
        <w:rPr>
          <w:lang w:val="en-NZ"/>
        </w:rPr>
      </w:pPr>
      <w:r w:rsidRPr="00D764B3">
        <w:rPr>
          <w:lang w:val="en-NZ"/>
        </w:rPr>
        <w:t>Input Documents</w:t>
      </w:r>
      <w:r w:rsidR="006738E6">
        <w:rPr>
          <w:lang w:val="en-NZ"/>
        </w:rPr>
        <w:t>:</w:t>
      </w:r>
    </w:p>
    <w:p w14:paraId="2E0E6753" w14:textId="0EE850BB" w:rsidR="00B64A60" w:rsidRPr="00424FF7" w:rsidRDefault="00B64A60" w:rsidP="00017F67">
      <w:pPr>
        <w:spacing w:after="120"/>
        <w:jc w:val="both"/>
        <w:rPr>
          <w:lang w:val="en-NZ"/>
        </w:rPr>
      </w:pPr>
      <w:r w:rsidRPr="00424FF7">
        <w:rPr>
          <w:lang w:val="en-NZ"/>
        </w:rPr>
        <w:t>APG19-</w:t>
      </w:r>
      <w:r>
        <w:rPr>
          <w:lang w:val="en-NZ"/>
        </w:rPr>
        <w:t>2</w:t>
      </w:r>
      <w:r w:rsidRPr="00424FF7">
        <w:rPr>
          <w:lang w:val="en-NZ"/>
        </w:rPr>
        <w:t>/INP-</w:t>
      </w:r>
      <w:r w:rsidR="006738E6">
        <w:rPr>
          <w:lang w:val="en-NZ"/>
        </w:rPr>
        <w:t>10 (KOR), INP-16 (SNG), INP-22 (NZL), INP-30 (AUS), INP-41 (INS), INP</w:t>
      </w:r>
      <w:r w:rsidR="006738E6">
        <w:rPr>
          <w:lang w:val="en-NZ"/>
        </w:rPr>
        <w:noBreakHyphen/>
        <w:t xml:space="preserve">46 (VTN), INP-51 (CHN), INP-57 (J) </w:t>
      </w:r>
    </w:p>
    <w:p w14:paraId="1E31A344" w14:textId="77777777" w:rsidR="001E4D99" w:rsidRDefault="001E4D99" w:rsidP="00017F67">
      <w:pPr>
        <w:spacing w:after="120"/>
        <w:jc w:val="both"/>
        <w:rPr>
          <w:lang w:val="en-NZ"/>
        </w:rPr>
      </w:pPr>
      <w:r>
        <w:rPr>
          <w:lang w:val="en-NZ"/>
        </w:rPr>
        <w:t>Information Documents:</w:t>
      </w:r>
    </w:p>
    <w:p w14:paraId="7F112398" w14:textId="56DDF818" w:rsidR="0011420F" w:rsidRDefault="00B64A60" w:rsidP="00017F67">
      <w:pPr>
        <w:spacing w:after="120"/>
        <w:jc w:val="both"/>
        <w:rPr>
          <w:lang w:val="en-NZ"/>
        </w:rPr>
      </w:pPr>
      <w:r w:rsidRPr="00424FF7">
        <w:rPr>
          <w:lang w:val="en-NZ"/>
        </w:rPr>
        <w:t>APG19-</w:t>
      </w:r>
      <w:r>
        <w:rPr>
          <w:lang w:val="en-NZ"/>
        </w:rPr>
        <w:t>2</w:t>
      </w:r>
      <w:r w:rsidRPr="00424FF7">
        <w:rPr>
          <w:lang w:val="en-NZ"/>
        </w:rPr>
        <w:t>/IN</w:t>
      </w:r>
      <w:r>
        <w:rPr>
          <w:lang w:val="en-NZ"/>
        </w:rPr>
        <w:t>F</w:t>
      </w:r>
      <w:r w:rsidRPr="00424FF7">
        <w:rPr>
          <w:lang w:val="en-NZ"/>
        </w:rPr>
        <w:t>-</w:t>
      </w:r>
      <w:r w:rsidR="001E4D99">
        <w:rPr>
          <w:lang w:val="en-NZ"/>
        </w:rPr>
        <w:t>0</w:t>
      </w:r>
      <w:r w:rsidR="00480293">
        <w:rPr>
          <w:lang w:val="en-NZ"/>
        </w:rPr>
        <w:t>1 (</w:t>
      </w:r>
      <w:r w:rsidR="00116B0B">
        <w:rPr>
          <w:lang w:val="en-NZ"/>
        </w:rPr>
        <w:t>C</w:t>
      </w:r>
      <w:r w:rsidR="00480293">
        <w:rPr>
          <w:lang w:val="en-NZ"/>
        </w:rPr>
        <w:t>hairman, APG-19</w:t>
      </w:r>
      <w:r w:rsidR="00116B0B">
        <w:rPr>
          <w:lang w:val="en-NZ"/>
        </w:rPr>
        <w:t>), INF-0</w:t>
      </w:r>
      <w:r w:rsidR="001E4D99">
        <w:rPr>
          <w:lang w:val="en-NZ"/>
        </w:rPr>
        <w:t xml:space="preserve">4 (CITEL), </w:t>
      </w:r>
      <w:r w:rsidR="00881326">
        <w:rPr>
          <w:lang w:val="en-NZ"/>
        </w:rPr>
        <w:t>INF-05 (RCC),</w:t>
      </w:r>
      <w:r w:rsidR="004A5F8F">
        <w:rPr>
          <w:lang w:val="en-NZ"/>
        </w:rPr>
        <w:t xml:space="preserve"> INF</w:t>
      </w:r>
      <w:r w:rsidR="00510723">
        <w:rPr>
          <w:lang w:val="en-NZ"/>
        </w:rPr>
        <w:noBreakHyphen/>
      </w:r>
      <w:r w:rsidR="004A5F8F">
        <w:rPr>
          <w:lang w:val="en-NZ"/>
        </w:rPr>
        <w:t>14 (CEPT)</w:t>
      </w:r>
      <w:r w:rsidR="00510723">
        <w:rPr>
          <w:lang w:val="en-NZ"/>
        </w:rPr>
        <w:t>, INF-15 (WP3)</w:t>
      </w:r>
    </w:p>
    <w:p w14:paraId="2E0E6756" w14:textId="184E213D" w:rsidR="00B64A60" w:rsidRPr="00710333" w:rsidRDefault="00B64A60" w:rsidP="00017F67">
      <w:pPr>
        <w:jc w:val="both"/>
        <w:rPr>
          <w:lang w:val="en-NZ"/>
        </w:rPr>
      </w:pPr>
    </w:p>
    <w:p w14:paraId="2E0E6757" w14:textId="77777777" w:rsidR="00B64A60" w:rsidRDefault="00B64A60" w:rsidP="00017F67">
      <w:pPr>
        <w:spacing w:after="120"/>
        <w:jc w:val="both"/>
        <w:rPr>
          <w:b/>
          <w:lang w:val="en-NZ" w:eastAsia="ko-KR"/>
        </w:rPr>
      </w:pPr>
      <w:r>
        <w:rPr>
          <w:b/>
          <w:lang w:val="en-NZ" w:eastAsia="ko-KR"/>
        </w:rPr>
        <w:t xml:space="preserve">3. </w:t>
      </w:r>
      <w:r>
        <w:rPr>
          <w:b/>
          <w:lang w:val="en-NZ" w:eastAsia="ko-KR"/>
        </w:rPr>
        <w:tab/>
        <w:t>Summary of Discussions</w:t>
      </w:r>
    </w:p>
    <w:p w14:paraId="304F9937" w14:textId="26F3100D" w:rsidR="004A2F96" w:rsidRDefault="004A2F96" w:rsidP="00017F67">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of Members’ view</w:t>
      </w:r>
    </w:p>
    <w:p w14:paraId="7993A39D" w14:textId="4692B47E" w:rsidR="004A2F96" w:rsidRDefault="004A2F96" w:rsidP="00017F67">
      <w:pPr>
        <w:spacing w:after="120"/>
        <w:jc w:val="both"/>
        <w:rPr>
          <w:b/>
          <w:lang w:val="en-NZ" w:eastAsia="ko-KR"/>
        </w:rPr>
      </w:pPr>
      <w:r>
        <w:rPr>
          <w:b/>
          <w:lang w:val="en-NZ" w:eastAsia="ko-KR"/>
        </w:rPr>
        <w:t xml:space="preserve">3.1.1 </w:t>
      </w:r>
      <w:r w:rsidR="00453BB1">
        <w:rPr>
          <w:b/>
          <w:lang w:val="en-NZ" w:eastAsia="ko-KR"/>
        </w:rPr>
        <w:t xml:space="preserve">Republic of </w:t>
      </w:r>
      <w:r w:rsidR="006738E6">
        <w:rPr>
          <w:b/>
          <w:lang w:val="en-NZ" w:eastAsia="ko-KR"/>
        </w:rPr>
        <w:t>Korea</w:t>
      </w:r>
    </w:p>
    <w:p w14:paraId="59D8EA4F" w14:textId="77777777" w:rsidR="008C3C16" w:rsidRDefault="008C3C16" w:rsidP="00017F67">
      <w:pPr>
        <w:spacing w:afterLines="60" w:after="144"/>
        <w:jc w:val="both"/>
      </w:pPr>
      <w:r>
        <w:t xml:space="preserve">The Republic of Korea supports ITU-R studies on technical, operational issues and regulatory provisions for non-geostationary fixed-satellite services satellite systems in the frequency bands 37.5-42.5 GHz (space-to-Earth), 47.2-48.9 GHz (limited to feeder links only), 48.9-50.2 GHz and 50.4-51.4 GHz (all Earth-to-space) in accordance with Resolution </w:t>
      </w:r>
      <w:r>
        <w:rPr>
          <w:b/>
        </w:rPr>
        <w:t>159 (WRC-15)</w:t>
      </w:r>
      <w:r>
        <w:t>.</w:t>
      </w:r>
    </w:p>
    <w:p w14:paraId="71A1BB87" w14:textId="77777777" w:rsidR="008C3C16" w:rsidRDefault="008C3C16" w:rsidP="00017F67">
      <w:pPr>
        <w:spacing w:afterLines="60" w:after="144"/>
        <w:jc w:val="both"/>
      </w:pPr>
      <w:r>
        <w:t>The Republic of Korea has a view that the studies should ensure protection of GSO satellite networks in the FSS, MSS and BSS and should not limit or unduly constrain the future development of these GSO satellite networks in the frequency bands above.</w:t>
      </w:r>
    </w:p>
    <w:p w14:paraId="64A41A49" w14:textId="77777777" w:rsidR="008C3C16" w:rsidRDefault="008C3C16" w:rsidP="00017F67">
      <w:pPr>
        <w:spacing w:afterLines="60" w:after="144"/>
        <w:jc w:val="both"/>
      </w:pPr>
      <w:r>
        <w:t>The Republic of Korea also has a view that the studies should ensure protection of the RAS in the adjacent bands from non-GSO FSS transmissions in the frequency bands above.</w:t>
      </w:r>
    </w:p>
    <w:p w14:paraId="0D9D793F" w14:textId="748D5B2D" w:rsidR="00BE6D33" w:rsidRDefault="008C3C16" w:rsidP="00017F67">
      <w:pPr>
        <w:spacing w:after="120"/>
        <w:jc w:val="both"/>
      </w:pPr>
      <w:r>
        <w:lastRenderedPageBreak/>
        <w:t>The Republic of Korea further has a view that compatibility and sharing with the service/application for which allocation/identification is envisaged under WRC-19 Agenda Item 1.13 in the overlapping frequency bands, in particular in the frequency band 37.5-42.5 GHz, should be ensured.</w:t>
      </w:r>
    </w:p>
    <w:p w14:paraId="6C0308E7" w14:textId="384AC520" w:rsidR="004A2F96" w:rsidRDefault="004A2F96" w:rsidP="00017F67">
      <w:pPr>
        <w:spacing w:after="120"/>
        <w:jc w:val="both"/>
        <w:rPr>
          <w:b/>
          <w:lang w:val="en-NZ" w:eastAsia="ko-KR"/>
        </w:rPr>
      </w:pPr>
      <w:r>
        <w:rPr>
          <w:b/>
          <w:lang w:val="en-NZ" w:eastAsia="ko-KR"/>
        </w:rPr>
        <w:t xml:space="preserve">3.1.2 </w:t>
      </w:r>
      <w:r w:rsidR="006738E6">
        <w:rPr>
          <w:b/>
          <w:lang w:val="en-NZ" w:eastAsia="ko-KR"/>
        </w:rPr>
        <w:t>Singapore</w:t>
      </w:r>
    </w:p>
    <w:p w14:paraId="65088F97" w14:textId="030A5915" w:rsidR="006738E6" w:rsidRDefault="008C3C16" w:rsidP="00017F67">
      <w:pPr>
        <w:spacing w:after="120"/>
        <w:ind w:right="2"/>
        <w:jc w:val="both"/>
      </w:pPr>
      <w:r>
        <w:t xml:space="preserve">Singapore supports studies under WRC-19 Agenda Item 1.6 with a view to develop a regulatory framework for non-GSO satellite systems in the existing FSS allocations in the 37.5-39.5 GHz (space-to-Earth), 39.5-42.5 GHz (space-to-Earth), 47.2-50.2 GHz (Earth-to-space) and 50.4-51.4 GHz (Earth-to-space) frequency bands under the terms of Resolution </w:t>
      </w:r>
      <w:r>
        <w:rPr>
          <w:b/>
        </w:rPr>
        <w:t>159 (WRC-15)</w:t>
      </w:r>
      <w:r>
        <w:t>.</w:t>
      </w:r>
    </w:p>
    <w:p w14:paraId="4B167027" w14:textId="67D9E53B" w:rsidR="006738E6" w:rsidRPr="006738E6" w:rsidRDefault="006738E6" w:rsidP="00017F67">
      <w:pPr>
        <w:spacing w:after="120"/>
        <w:jc w:val="both"/>
        <w:rPr>
          <w:b/>
          <w:lang w:val="en-NZ" w:eastAsia="ko-KR"/>
        </w:rPr>
      </w:pPr>
      <w:r w:rsidRPr="006738E6">
        <w:rPr>
          <w:b/>
          <w:lang w:val="en-NZ" w:eastAsia="ko-KR"/>
        </w:rPr>
        <w:t>3.1.3 New Zealand</w:t>
      </w:r>
    </w:p>
    <w:p w14:paraId="2D3BEEF0" w14:textId="366234EF" w:rsidR="006738E6" w:rsidRDefault="008C3C16" w:rsidP="00017F67">
      <w:pPr>
        <w:spacing w:after="120"/>
        <w:jc w:val="both"/>
        <w:rPr>
          <w:lang w:val="en-NZ"/>
        </w:rPr>
      </w:pPr>
      <w:r w:rsidRPr="001047AD">
        <w:rPr>
          <w:lang w:val="en-NZ"/>
        </w:rPr>
        <w:t xml:space="preserve">New Zealand supports the </w:t>
      </w:r>
      <w:r>
        <w:rPr>
          <w:lang w:val="en-NZ"/>
        </w:rPr>
        <w:t xml:space="preserve">ITU-R </w:t>
      </w:r>
      <w:r w:rsidRPr="001047AD">
        <w:rPr>
          <w:lang w:val="en-NZ"/>
        </w:rPr>
        <w:t xml:space="preserve">studies </w:t>
      </w:r>
      <w:r>
        <w:rPr>
          <w:lang w:val="en-NZ"/>
        </w:rPr>
        <w:t xml:space="preserve">undertaken </w:t>
      </w:r>
      <w:r w:rsidRPr="001047AD">
        <w:rPr>
          <w:lang w:val="en-NZ"/>
        </w:rPr>
        <w:t>in accordance with Resolution</w:t>
      </w:r>
      <w:r w:rsidRPr="001047AD">
        <w:rPr>
          <w:b/>
          <w:lang w:val="en-NZ"/>
        </w:rPr>
        <w:t xml:space="preserve"> 159 (WRC-15)</w:t>
      </w:r>
      <w:r w:rsidRPr="001047AD">
        <w:rPr>
          <w:lang w:val="en-NZ"/>
        </w:rPr>
        <w:t xml:space="preserve">. As some of the frequency bands </w:t>
      </w:r>
      <w:r>
        <w:rPr>
          <w:lang w:val="en-NZ"/>
        </w:rPr>
        <w:t xml:space="preserve">subject to studies </w:t>
      </w:r>
      <w:r w:rsidRPr="001047AD">
        <w:rPr>
          <w:lang w:val="en-NZ"/>
        </w:rPr>
        <w:t>under</w:t>
      </w:r>
      <w:r>
        <w:rPr>
          <w:lang w:val="en-NZ"/>
        </w:rPr>
        <w:t xml:space="preserve"> this agenda item</w:t>
      </w:r>
      <w:r w:rsidRPr="001047AD">
        <w:rPr>
          <w:lang w:val="en-NZ"/>
        </w:rPr>
        <w:t xml:space="preserve"> are underutilised in New Zealand, we are open to consider better harmonised use of these frequencies</w:t>
      </w:r>
      <w:r w:rsidRPr="009B7004">
        <w:rPr>
          <w:lang w:val="en-NZ"/>
        </w:rPr>
        <w:t>.</w:t>
      </w:r>
    </w:p>
    <w:p w14:paraId="2B6BFE14" w14:textId="19988FBB" w:rsidR="006738E6" w:rsidRPr="006738E6" w:rsidRDefault="006738E6" w:rsidP="00017F67">
      <w:pPr>
        <w:spacing w:after="120"/>
        <w:jc w:val="both"/>
        <w:rPr>
          <w:b/>
          <w:lang w:val="en-NZ" w:eastAsia="ko-KR"/>
        </w:rPr>
      </w:pPr>
      <w:r w:rsidRPr="006738E6">
        <w:rPr>
          <w:b/>
          <w:lang w:val="en-NZ" w:eastAsia="ko-KR"/>
        </w:rPr>
        <w:t>3.1.4 Australia</w:t>
      </w:r>
    </w:p>
    <w:p w14:paraId="0CCEC0B8" w14:textId="0C7FCEC9" w:rsidR="006738E6" w:rsidRPr="00D853F1" w:rsidRDefault="00D853F1" w:rsidP="00017F67">
      <w:pPr>
        <w:spacing w:after="120"/>
        <w:jc w:val="both"/>
      </w:pPr>
      <w:r>
        <w:t xml:space="preserve">Australia supports studies into the technical and operational issues associated with the establishment of a regulatory framework for non-GSO FSS satellite systems in the frequency bands 37.5-39.5 GHz (space-to-Earth), 39.5-42.5 GHz (space-to-Earth), 47.2-50.2 GHz (Earth-to-space), and 50.4-51.4 GHz (Earth-to-space), in accordance with Resolution </w:t>
      </w:r>
      <w:r>
        <w:rPr>
          <w:b/>
        </w:rPr>
        <w:t>159 (WRC-15)</w:t>
      </w:r>
      <w:r>
        <w:t>.</w:t>
      </w:r>
    </w:p>
    <w:p w14:paraId="45E732CE" w14:textId="6AE07AC8" w:rsidR="006738E6" w:rsidRPr="006738E6" w:rsidRDefault="006738E6" w:rsidP="00017F67">
      <w:pPr>
        <w:spacing w:after="120"/>
        <w:jc w:val="both"/>
        <w:rPr>
          <w:b/>
          <w:lang w:val="en-NZ" w:eastAsia="ko-KR"/>
        </w:rPr>
      </w:pPr>
      <w:r w:rsidRPr="006738E6">
        <w:rPr>
          <w:b/>
          <w:lang w:val="en-NZ" w:eastAsia="ko-KR"/>
        </w:rPr>
        <w:t>3.1.5 Indonesia</w:t>
      </w:r>
    </w:p>
    <w:p w14:paraId="40D32911" w14:textId="472B9EEF" w:rsidR="006738E6" w:rsidRDefault="00D853F1" w:rsidP="00017F67">
      <w:pPr>
        <w:spacing w:after="120"/>
        <w:jc w:val="both"/>
      </w:pPr>
      <w:r>
        <w:t>Indonesia supports studies on technical and operational issues and regulatory provisions of non-GSO FSS satellite systems in the frequency bands 37.5- 39.5 GHz (space-to-Earth), 39.5 - 42.5 GHz (space to Earth), 47.2 - 50.2 GHz (Earth-to-space) and 50.4 - 51.4 GHz (Earth-to-space)</w:t>
      </w:r>
      <w:r>
        <w:rPr>
          <w:lang w:val="id-ID"/>
        </w:rPr>
        <w:t xml:space="preserve"> while </w:t>
      </w:r>
      <w:proofErr w:type="spellStart"/>
      <w:r>
        <w:t>ensur</w:t>
      </w:r>
      <w:proofErr w:type="spellEnd"/>
      <w:r>
        <w:rPr>
          <w:lang w:val="id-ID"/>
        </w:rPr>
        <w:t>ing</w:t>
      </w:r>
      <w:r>
        <w:t xml:space="preserve"> protection to GSO satellite networks in FSS, MSS and BSS, and other existing services in the same and adjacent frequency bands.</w:t>
      </w:r>
    </w:p>
    <w:p w14:paraId="35183CA2" w14:textId="11EB9E11" w:rsidR="006738E6" w:rsidRPr="006738E6" w:rsidRDefault="006738E6" w:rsidP="00017F67">
      <w:pPr>
        <w:spacing w:after="120"/>
        <w:jc w:val="both"/>
        <w:rPr>
          <w:b/>
          <w:lang w:val="en-NZ" w:eastAsia="ko-KR"/>
        </w:rPr>
      </w:pPr>
      <w:r w:rsidRPr="006738E6">
        <w:rPr>
          <w:b/>
          <w:lang w:val="en-NZ" w:eastAsia="ko-KR"/>
        </w:rPr>
        <w:t>3.1.6 Viet Nam</w:t>
      </w:r>
    </w:p>
    <w:p w14:paraId="1ACBF3FC" w14:textId="0BE10FAE" w:rsidR="00D853F1" w:rsidRDefault="00D853F1" w:rsidP="00017F67">
      <w:pPr>
        <w:spacing w:after="120"/>
        <w:jc w:val="both"/>
      </w:pPr>
      <w:r>
        <w:t>Considering no technical measures and regulatory framework for sharing between non-GSO systems and GSO networks, Viet Nam is of the view that:</w:t>
      </w:r>
    </w:p>
    <w:p w14:paraId="1D5BBC3A" w14:textId="09C88278" w:rsidR="00D853F1" w:rsidRDefault="00D853F1" w:rsidP="00017F67">
      <w:pPr>
        <w:pStyle w:val="ListParagraph"/>
        <w:numPr>
          <w:ilvl w:val="0"/>
          <w:numId w:val="23"/>
        </w:numPr>
        <w:spacing w:after="120"/>
        <w:contextualSpacing/>
        <w:jc w:val="both"/>
      </w:pPr>
      <w:r>
        <w:t>Support to develop a regulatory framework to facilitate co-frequency operation of GSO networks and non</w:t>
      </w:r>
      <w:r>
        <w:noBreakHyphen/>
        <w:t>GSO FSS systems in the 50/40 GHz frequency bands, while ensuring protection of GSO satellite networks in the FSS, MSS and BSS, without limiting or unduly constraining the future development of GSO networks across those bands.</w:t>
      </w:r>
    </w:p>
    <w:p w14:paraId="2C2EE6C6" w14:textId="33133F19" w:rsidR="00D853F1" w:rsidRDefault="00D853F1" w:rsidP="00017F67">
      <w:pPr>
        <w:pStyle w:val="ListParagraph"/>
        <w:numPr>
          <w:ilvl w:val="0"/>
          <w:numId w:val="23"/>
        </w:numPr>
        <w:spacing w:after="120"/>
        <w:ind w:left="714" w:hanging="357"/>
        <w:contextualSpacing/>
        <w:jc w:val="both"/>
      </w:pPr>
      <w:r>
        <w:t>Taking into account studies regarding these bands</w:t>
      </w:r>
      <w:bookmarkStart w:id="0" w:name="_Hlk487446083"/>
      <w:r>
        <w:t xml:space="preserve"> carried out under WRC-19 AI 1.13</w:t>
      </w:r>
      <w:bookmarkEnd w:id="0"/>
    </w:p>
    <w:p w14:paraId="25F36E07" w14:textId="37413A5A" w:rsidR="006738E6" w:rsidRPr="006738E6" w:rsidRDefault="006738E6" w:rsidP="00017F67">
      <w:pPr>
        <w:spacing w:after="120"/>
        <w:jc w:val="both"/>
        <w:rPr>
          <w:b/>
          <w:lang w:val="en-NZ" w:eastAsia="ko-KR"/>
        </w:rPr>
      </w:pPr>
      <w:r w:rsidRPr="006738E6">
        <w:rPr>
          <w:b/>
          <w:lang w:val="en-NZ" w:eastAsia="ko-KR"/>
        </w:rPr>
        <w:t>3.1.7 China</w:t>
      </w:r>
    </w:p>
    <w:p w14:paraId="153A6BB2" w14:textId="77777777" w:rsidR="00D853F1" w:rsidRDefault="00D853F1" w:rsidP="00017F67">
      <w:pPr>
        <w:spacing w:beforeLines="50" w:before="120" w:afterLines="50" w:after="120"/>
        <w:ind w:left="720" w:hangingChars="300" w:hanging="720"/>
        <w:jc w:val="both"/>
        <w:rPr>
          <w:rFonts w:eastAsia="SimSun"/>
          <w:lang w:eastAsia="zh-CN"/>
        </w:rPr>
      </w:pPr>
      <w:r>
        <w:rPr>
          <w:rFonts w:eastAsia="SimSun"/>
          <w:lang w:eastAsia="zh-CN"/>
        </w:rPr>
        <w:t>Chinese preliminary views are as follows</w:t>
      </w:r>
      <w:r>
        <w:rPr>
          <w:lang w:eastAsia="zh-CN"/>
        </w:rPr>
        <w:t>:</w:t>
      </w:r>
    </w:p>
    <w:p w14:paraId="7D4246A1" w14:textId="77777777" w:rsidR="00D853F1" w:rsidRDefault="00D853F1" w:rsidP="00017F67">
      <w:pPr>
        <w:spacing w:beforeLines="50" w:before="120" w:afterLines="50" w:after="120"/>
        <w:ind w:left="720" w:hangingChars="300" w:hanging="720"/>
        <w:jc w:val="both"/>
        <w:rPr>
          <w:rFonts w:eastAsia="SimSun"/>
          <w:lang w:eastAsia="zh-CN"/>
        </w:rPr>
      </w:pPr>
      <w:r>
        <w:rPr>
          <w:rFonts w:eastAsia="SimSun"/>
          <w:lang w:eastAsia="zh-CN"/>
        </w:rPr>
        <w:t xml:space="preserve"> </w:t>
      </w:r>
      <w:r>
        <w:rPr>
          <w:lang w:eastAsia="zh-CN"/>
        </w:rPr>
        <w:t>–</w:t>
      </w:r>
      <w:r>
        <w:rPr>
          <w:rFonts w:eastAsia="SimSun"/>
          <w:lang w:eastAsia="zh-CN"/>
        </w:rPr>
        <w:t xml:space="preserve">  </w:t>
      </w:r>
      <w:r>
        <w:rPr>
          <w:lang w:eastAsia="zh-CN"/>
        </w:rPr>
        <w:t xml:space="preserve"> </w:t>
      </w:r>
      <w:r>
        <w:rPr>
          <w:rFonts w:eastAsia="SimSun"/>
          <w:lang w:eastAsia="zh-CN"/>
        </w:rPr>
        <w:t xml:space="preserve">      China</w:t>
      </w:r>
      <w:r>
        <w:rPr>
          <w:lang w:eastAsia="zh-CN"/>
        </w:rPr>
        <w:t xml:space="preserve"> support current ITU-R studies of technical and operational issues and regulatory provisions for the operation of non-GSO FSS satellite systems in the frequency bands 37.5-42.5 GHz (space-to-Earth) and 47.2-50.2 GHz (Earth-to-space) and 50.4-51.4 GHz (Earth-to-space)</w:t>
      </w:r>
      <w:r>
        <w:rPr>
          <w:rFonts w:eastAsia="SimSun"/>
          <w:lang w:eastAsia="zh-CN"/>
        </w:rPr>
        <w:t>;</w:t>
      </w:r>
    </w:p>
    <w:p w14:paraId="729C8CD1" w14:textId="77777777" w:rsidR="00D853F1" w:rsidRDefault="00D853F1" w:rsidP="00017F67">
      <w:pPr>
        <w:spacing w:beforeLines="50" w:before="120" w:afterLines="50" w:after="120"/>
        <w:ind w:left="720" w:hangingChars="300" w:hanging="720"/>
        <w:jc w:val="both"/>
        <w:rPr>
          <w:lang w:eastAsia="zh-CN"/>
        </w:rPr>
      </w:pPr>
      <w:r>
        <w:rPr>
          <w:lang w:eastAsia="zh-CN"/>
        </w:rPr>
        <w:t>–</w:t>
      </w:r>
      <w:r>
        <w:rPr>
          <w:lang w:eastAsia="zh-CN"/>
        </w:rPr>
        <w:tab/>
        <w:t>GSO satellite networks in the FSS, MSS and BSS should be protected, without limiting or unduly constraining the future development of GSO networks across those bands, and without modifying the provisions of RR Article 21;</w:t>
      </w:r>
    </w:p>
    <w:p w14:paraId="7AD3115A" w14:textId="77777777" w:rsidR="00D853F1" w:rsidRDefault="00D853F1" w:rsidP="00017F67">
      <w:pPr>
        <w:spacing w:beforeLines="50" w:before="120" w:afterLines="50" w:after="120"/>
        <w:ind w:left="720" w:hangingChars="300" w:hanging="720"/>
        <w:jc w:val="both"/>
        <w:rPr>
          <w:lang w:eastAsia="zh-CN"/>
        </w:rPr>
      </w:pPr>
      <w:r>
        <w:rPr>
          <w:lang w:eastAsia="zh-CN"/>
        </w:rPr>
        <w:t>–</w:t>
      </w:r>
      <w:r>
        <w:rPr>
          <w:lang w:eastAsia="zh-CN"/>
        </w:rPr>
        <w:tab/>
        <w:t>EESS (passive) should be protected in the frequency bands 36-37 GHz and 50.2-50.4 GHz from non-GSO FSS transmission;</w:t>
      </w:r>
    </w:p>
    <w:p w14:paraId="5C685726" w14:textId="322F1DCC" w:rsidR="006738E6" w:rsidRDefault="00D853F1" w:rsidP="00017F67">
      <w:pPr>
        <w:spacing w:after="120"/>
        <w:ind w:left="720" w:hangingChars="300" w:hanging="720"/>
        <w:jc w:val="both"/>
        <w:rPr>
          <w:lang w:eastAsia="zh-CN"/>
        </w:rPr>
      </w:pPr>
      <w:r>
        <w:rPr>
          <w:lang w:eastAsia="zh-CN"/>
        </w:rPr>
        <w:lastRenderedPageBreak/>
        <w:t>–</w:t>
      </w:r>
      <w:r>
        <w:rPr>
          <w:lang w:eastAsia="zh-CN"/>
        </w:rPr>
        <w:tab/>
        <w:t>The radio astronomy should be protected in the frequency bands 42.5</w:t>
      </w:r>
      <w:r>
        <w:rPr>
          <w:lang w:eastAsia="zh-CN"/>
        </w:rPr>
        <w:noBreakHyphen/>
        <w:t>43.5 GHz, 48.94-49.04 GHz and 51.4-54.25 GHz from non-GSO FSS transmissions.</w:t>
      </w:r>
    </w:p>
    <w:p w14:paraId="1E68036C" w14:textId="43A100FE" w:rsidR="006738E6" w:rsidRPr="006738E6" w:rsidRDefault="006738E6" w:rsidP="00017F67">
      <w:pPr>
        <w:spacing w:after="120"/>
        <w:jc w:val="both"/>
        <w:rPr>
          <w:b/>
          <w:lang w:val="en-NZ" w:eastAsia="ko-KR"/>
        </w:rPr>
      </w:pPr>
      <w:r w:rsidRPr="006738E6">
        <w:rPr>
          <w:b/>
          <w:lang w:val="en-NZ" w:eastAsia="ko-KR"/>
        </w:rPr>
        <w:t>3.1.8 Japan</w:t>
      </w:r>
    </w:p>
    <w:p w14:paraId="55BE236D" w14:textId="67BB7150" w:rsidR="006738E6" w:rsidRDefault="00D853F1" w:rsidP="00017F67">
      <w:pPr>
        <w:spacing w:after="120"/>
        <w:jc w:val="both"/>
        <w:rPr>
          <w:rFonts w:eastAsiaTheme="minorEastAsia"/>
          <w:lang w:eastAsia="ja-JP"/>
        </w:rPr>
      </w:pPr>
      <w:r>
        <w:rPr>
          <w:rFonts w:eastAsiaTheme="minorEastAsia"/>
          <w:lang w:eastAsia="ja-JP"/>
        </w:rPr>
        <w:t>Japan is of the view that appropriate protection of existing services is necessary.</w:t>
      </w:r>
    </w:p>
    <w:p w14:paraId="7E81F481" w14:textId="725FCE4B" w:rsidR="008454C8" w:rsidRPr="00197C18" w:rsidRDefault="008454C8" w:rsidP="00017F67">
      <w:pPr>
        <w:spacing w:after="120"/>
        <w:jc w:val="both"/>
        <w:rPr>
          <w:b/>
          <w:lang w:val="en-NZ"/>
        </w:rPr>
      </w:pPr>
      <w:r w:rsidRPr="00197C18">
        <w:rPr>
          <w:b/>
          <w:lang w:val="en-NZ"/>
        </w:rPr>
        <w:t xml:space="preserve">3.2 </w:t>
      </w:r>
      <w:r w:rsidRPr="00197C18">
        <w:rPr>
          <w:b/>
          <w:lang w:val="en-NZ"/>
        </w:rPr>
        <w:tab/>
      </w:r>
      <w:r w:rsidRPr="00197C18">
        <w:rPr>
          <w:b/>
          <w:lang w:val="en-NZ" w:eastAsia="ko-KR"/>
        </w:rPr>
        <w:t>Key</w:t>
      </w:r>
      <w:r w:rsidRPr="00197C18">
        <w:rPr>
          <w:b/>
          <w:lang w:val="en-NZ"/>
        </w:rPr>
        <w:t xml:space="preserve"> </w:t>
      </w:r>
      <w:r w:rsidRPr="00197C18">
        <w:rPr>
          <w:b/>
          <w:lang w:val="en-NZ" w:eastAsia="ko-KR"/>
        </w:rPr>
        <w:t>points</w:t>
      </w:r>
      <w:r w:rsidRPr="00197C18">
        <w:rPr>
          <w:b/>
          <w:lang w:val="en-NZ"/>
        </w:rPr>
        <w:t xml:space="preserve"> raised during the meeting</w:t>
      </w:r>
    </w:p>
    <w:p w14:paraId="2BA19AF6" w14:textId="1542B893" w:rsidR="008C2667" w:rsidRDefault="008C2667" w:rsidP="00017F67">
      <w:pPr>
        <w:spacing w:after="120"/>
        <w:jc w:val="both"/>
        <w:rPr>
          <w:lang w:val="en-NZ"/>
        </w:rPr>
      </w:pPr>
      <w:r>
        <w:t>APT members</w:t>
      </w:r>
      <w:r w:rsidR="00AE3242">
        <w:t xml:space="preserve"> support</w:t>
      </w:r>
      <w:r>
        <w:t xml:space="preserve"> studies on technical and operational issues and regulatory provisions of non-GSO FSS satellite systems in the frequency bands 37.5- 39.5 GHz (space-to-Earth), 39.5 - 42.5 GHz (space to Earth), 47.2 - 50.2 GHz (Earth-to-space) and 50.4 - 51.4 GHz (Earth-to-space)</w:t>
      </w:r>
      <w:r>
        <w:rPr>
          <w:lang w:val="id-ID"/>
        </w:rPr>
        <w:t xml:space="preserve"> while </w:t>
      </w:r>
      <w:proofErr w:type="spellStart"/>
      <w:r>
        <w:t>ensur</w:t>
      </w:r>
      <w:proofErr w:type="spellEnd"/>
      <w:r>
        <w:rPr>
          <w:lang w:val="id-ID"/>
        </w:rPr>
        <w:t>ing</w:t>
      </w:r>
      <w:r>
        <w:t xml:space="preserve"> protection to GSO satellite networks in FSS, MSS and BSS, and other existing services in the same </w:t>
      </w:r>
      <w:r w:rsidR="001C3570">
        <w:t xml:space="preserve">bands as well as </w:t>
      </w:r>
      <w:r w:rsidRPr="008C2667">
        <w:rPr>
          <w:lang w:val="en-NZ"/>
        </w:rPr>
        <w:t>protection of the EESS (passive) in the frequency bands 36-37 GHz and 50.2-50.4 GHz</w:t>
      </w:r>
      <w:r w:rsidR="001C3570">
        <w:rPr>
          <w:lang w:val="en-NZ"/>
        </w:rPr>
        <w:t xml:space="preserve"> and</w:t>
      </w:r>
      <w:r w:rsidRPr="008C2667">
        <w:rPr>
          <w:lang w:val="en-NZ"/>
        </w:rPr>
        <w:t xml:space="preserve"> </w:t>
      </w:r>
      <w:r w:rsidR="001C3570">
        <w:rPr>
          <w:lang w:val="en-NZ"/>
        </w:rPr>
        <w:t xml:space="preserve">the </w:t>
      </w:r>
      <w:r w:rsidRPr="008C2667">
        <w:rPr>
          <w:lang w:val="en-NZ"/>
        </w:rPr>
        <w:t>radio astronomy</w:t>
      </w:r>
      <w:r w:rsidR="001C3570">
        <w:rPr>
          <w:lang w:val="en-NZ"/>
        </w:rPr>
        <w:t xml:space="preserve"> service in the</w:t>
      </w:r>
      <w:r w:rsidRPr="008C2667">
        <w:rPr>
          <w:lang w:val="en-NZ"/>
        </w:rPr>
        <w:t xml:space="preserve"> frequency bands</w:t>
      </w:r>
      <w:r>
        <w:rPr>
          <w:lang w:val="en-NZ"/>
        </w:rPr>
        <w:t xml:space="preserve"> </w:t>
      </w:r>
      <w:r w:rsidRPr="008C2667">
        <w:rPr>
          <w:lang w:val="en-NZ"/>
        </w:rPr>
        <w:t>42.5-43.5 GHz, 48.94-49.04 GHz and 51.4-54.25 GHz</w:t>
      </w:r>
      <w:r w:rsidR="001C3570">
        <w:rPr>
          <w:lang w:val="en-NZ"/>
        </w:rPr>
        <w:t>.</w:t>
      </w:r>
    </w:p>
    <w:p w14:paraId="143C7A14" w14:textId="7F755E1C" w:rsidR="00950EC0" w:rsidRDefault="009C3E7D" w:rsidP="00017F67">
      <w:pPr>
        <w:spacing w:after="120"/>
        <w:jc w:val="both"/>
      </w:pPr>
      <w:r>
        <w:rPr>
          <w:lang w:val="en-NZ"/>
        </w:rPr>
        <w:t xml:space="preserve">It was noted </w:t>
      </w:r>
      <w:r w:rsidR="001C3570">
        <w:t>that</w:t>
      </w:r>
      <w:r w:rsidR="00AE3242">
        <w:t xml:space="preserve"> for </w:t>
      </w:r>
      <w:r w:rsidR="001C3570">
        <w:t xml:space="preserve">this agenda item, </w:t>
      </w:r>
      <w:r w:rsidR="00AE3242">
        <w:t>a number of</w:t>
      </w:r>
      <w:r w:rsidR="001C3570">
        <w:t xml:space="preserve"> frequency band</w:t>
      </w:r>
      <w:r w:rsidR="00AE3242">
        <w:t>s</w:t>
      </w:r>
      <w:r w:rsidR="001C3570">
        <w:t xml:space="preserve"> </w:t>
      </w:r>
      <w:r w:rsidR="00AE3242">
        <w:t>are</w:t>
      </w:r>
      <w:r w:rsidR="001C3570">
        <w:t xml:space="preserve"> </w:t>
      </w:r>
      <w:r w:rsidR="00AE3242">
        <w:t xml:space="preserve">also </w:t>
      </w:r>
      <w:r w:rsidR="001C3570">
        <w:t xml:space="preserve">being studied </w:t>
      </w:r>
      <w:r w:rsidR="00AE3242">
        <w:t>under agenda item 1.13 (IMT), agenda item 1.14 (HAPS) and agenda item 9.1 (Issue 9.1.9 – 50 GHz NGSO).</w:t>
      </w:r>
      <w:r w:rsidR="00C113B6">
        <w:t xml:space="preserve">  </w:t>
      </w:r>
    </w:p>
    <w:p w14:paraId="70A16EE8" w14:textId="77777777" w:rsidR="00017F67" w:rsidRDefault="00017F67" w:rsidP="00017F67">
      <w:pPr>
        <w:jc w:val="both"/>
      </w:pPr>
    </w:p>
    <w:p w14:paraId="2E0E675B" w14:textId="46368A45" w:rsidR="00B64A60" w:rsidRDefault="00B64A60" w:rsidP="00017F67">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p>
    <w:p w14:paraId="2E0E675E" w14:textId="46AC9AC4" w:rsidR="00FD6235" w:rsidRDefault="00950EC0" w:rsidP="00017F67">
      <w:pPr>
        <w:spacing w:after="120"/>
        <w:jc w:val="both"/>
        <w:rPr>
          <w:lang w:val="en-NZ"/>
        </w:rPr>
      </w:pPr>
      <w:r>
        <w:t xml:space="preserve">APT </w:t>
      </w:r>
      <w:r w:rsidR="000E6AB0">
        <w:t>M</w:t>
      </w:r>
      <w:r>
        <w:t>embers support studies on technical and operational issues and regulatory provisions of non-GSO FSS satellite systems in the frequency bands 37.5- 39.5 GHz (space-to-Earth), 39.5 - 42.5 GHz (space to Earth), 47.2 - 50.2 GHz (Earth-to-space) and 50.4 - 51.4 GHz (Earth-to-space)</w:t>
      </w:r>
      <w:r>
        <w:rPr>
          <w:lang w:val="id-ID"/>
        </w:rPr>
        <w:t xml:space="preserve"> while </w:t>
      </w:r>
      <w:proofErr w:type="spellStart"/>
      <w:r>
        <w:t>ensur</w:t>
      </w:r>
      <w:proofErr w:type="spellEnd"/>
      <w:r>
        <w:rPr>
          <w:lang w:val="id-ID"/>
        </w:rPr>
        <w:t>ing</w:t>
      </w:r>
      <w:r>
        <w:t xml:space="preserve"> protection to GSO satellite networks in FSS, MSS and BSS, and other existing services in the same bands as well as </w:t>
      </w:r>
      <w:r w:rsidRPr="008C2667">
        <w:rPr>
          <w:lang w:val="en-NZ"/>
        </w:rPr>
        <w:t>protection of the EESS (passive) in the frequency bands 36-37 GHz and 50.2-50.4 GHz</w:t>
      </w:r>
      <w:r>
        <w:rPr>
          <w:lang w:val="en-NZ"/>
        </w:rPr>
        <w:t xml:space="preserve"> and</w:t>
      </w:r>
      <w:r w:rsidRPr="008C2667">
        <w:rPr>
          <w:lang w:val="en-NZ"/>
        </w:rPr>
        <w:t xml:space="preserve"> </w:t>
      </w:r>
      <w:r>
        <w:rPr>
          <w:lang w:val="en-NZ"/>
        </w:rPr>
        <w:t xml:space="preserve">the </w:t>
      </w:r>
      <w:r w:rsidRPr="008C2667">
        <w:rPr>
          <w:lang w:val="en-NZ"/>
        </w:rPr>
        <w:t>radio astronomy</w:t>
      </w:r>
      <w:r>
        <w:rPr>
          <w:lang w:val="en-NZ"/>
        </w:rPr>
        <w:t xml:space="preserve"> in the</w:t>
      </w:r>
      <w:r w:rsidRPr="008C2667">
        <w:rPr>
          <w:lang w:val="en-NZ"/>
        </w:rPr>
        <w:t xml:space="preserve"> frequency bands</w:t>
      </w:r>
      <w:r>
        <w:rPr>
          <w:lang w:val="en-NZ"/>
        </w:rPr>
        <w:t xml:space="preserve"> </w:t>
      </w:r>
      <w:r w:rsidRPr="008C2667">
        <w:rPr>
          <w:lang w:val="en-NZ"/>
        </w:rPr>
        <w:t>42.5-43.5 GHz, 48.94-49.04 GHz and 51.4-54.25 GHz</w:t>
      </w:r>
      <w:r>
        <w:rPr>
          <w:lang w:val="en-NZ"/>
        </w:rPr>
        <w:t>.</w:t>
      </w:r>
    </w:p>
    <w:p w14:paraId="39B21E76" w14:textId="77777777" w:rsidR="00AE3242" w:rsidRDefault="00AE3242" w:rsidP="00017F67">
      <w:pPr>
        <w:jc w:val="both"/>
        <w:rPr>
          <w:lang w:val="en-NZ"/>
        </w:rPr>
      </w:pPr>
    </w:p>
    <w:p w14:paraId="24ACB766" w14:textId="74AE2AA1" w:rsidR="00570E20" w:rsidRDefault="00B64A60" w:rsidP="00017F67">
      <w:pPr>
        <w:spacing w:after="120"/>
        <w:jc w:val="both"/>
        <w:rPr>
          <w:b/>
          <w:lang w:val="en-NZ" w:eastAsia="ko-KR"/>
        </w:rPr>
      </w:pPr>
      <w:r>
        <w:rPr>
          <w:b/>
          <w:lang w:val="en-NZ" w:eastAsia="ko-KR"/>
        </w:rPr>
        <w:t>5.</w:t>
      </w:r>
      <w:r w:rsidRPr="008D046E">
        <w:rPr>
          <w:b/>
          <w:lang w:val="en-NZ" w:eastAsia="ko-KR"/>
        </w:rPr>
        <w:t xml:space="preserve"> </w:t>
      </w:r>
      <w:r w:rsidRPr="008D046E">
        <w:rPr>
          <w:b/>
          <w:lang w:val="en-NZ" w:eastAsia="ko-KR"/>
        </w:rPr>
        <w:tab/>
        <w:t>Other Views</w:t>
      </w:r>
    </w:p>
    <w:p w14:paraId="7F61D1DC" w14:textId="66BCD59D" w:rsidR="005E1C89" w:rsidRPr="005E1C89" w:rsidRDefault="005E1C89" w:rsidP="00017F67">
      <w:pPr>
        <w:spacing w:after="120"/>
        <w:jc w:val="both"/>
        <w:rPr>
          <w:lang w:val="en-NZ" w:eastAsia="ko-KR"/>
        </w:rPr>
      </w:pPr>
      <w:r w:rsidRPr="005E1C89">
        <w:rPr>
          <w:lang w:val="en-NZ" w:eastAsia="ko-KR"/>
        </w:rPr>
        <w:t>None</w:t>
      </w:r>
    </w:p>
    <w:p w14:paraId="755BC910" w14:textId="77777777" w:rsidR="005E1C89" w:rsidRDefault="005E1C89" w:rsidP="005E1C89">
      <w:pPr>
        <w:jc w:val="both"/>
        <w:rPr>
          <w:b/>
          <w:lang w:val="en-NZ"/>
        </w:rPr>
      </w:pPr>
    </w:p>
    <w:p w14:paraId="11DF0159" w14:textId="3267A27E" w:rsidR="00D53688" w:rsidRDefault="00D53688" w:rsidP="005E1C89">
      <w:pPr>
        <w:jc w:val="both"/>
        <w:rPr>
          <w:b/>
          <w:lang w:val="en-NZ"/>
        </w:rPr>
      </w:pPr>
      <w:r>
        <w:rPr>
          <w:b/>
          <w:lang w:val="en-NZ"/>
        </w:rPr>
        <w:t xml:space="preserve">6. </w:t>
      </w:r>
      <w:r>
        <w:rPr>
          <w:b/>
          <w:lang w:val="en-NZ"/>
        </w:rPr>
        <w:tab/>
        <w:t xml:space="preserve">Views from Other </w:t>
      </w:r>
      <w:r w:rsidR="00A564FB">
        <w:rPr>
          <w:b/>
          <w:lang w:val="en-NZ"/>
        </w:rPr>
        <w:t>Organisations</w:t>
      </w:r>
    </w:p>
    <w:p w14:paraId="228FCCD6" w14:textId="602DCB36" w:rsidR="00881326" w:rsidRDefault="00363266" w:rsidP="00017F67">
      <w:pPr>
        <w:spacing w:after="120"/>
        <w:jc w:val="both"/>
        <w:rPr>
          <w:lang w:val="en-NZ"/>
        </w:rPr>
      </w:pPr>
      <w:r>
        <w:rPr>
          <w:lang w:val="en-NZ"/>
        </w:rPr>
        <w:t>These views from other organisations are present</w:t>
      </w:r>
      <w:r w:rsidR="00C2511F">
        <w:rPr>
          <w:lang w:val="en-NZ"/>
        </w:rPr>
        <w:t>ed</w:t>
      </w:r>
      <w:r>
        <w:rPr>
          <w:lang w:val="en-NZ"/>
        </w:rPr>
        <w:t xml:space="preserve"> for information only.</w:t>
      </w:r>
    </w:p>
    <w:p w14:paraId="4D2718D5" w14:textId="38D4B4E9" w:rsidR="00881326" w:rsidRPr="00881326" w:rsidRDefault="00881326" w:rsidP="00017F67">
      <w:pPr>
        <w:spacing w:after="120"/>
        <w:jc w:val="both"/>
        <w:rPr>
          <w:b/>
          <w:lang w:val="en-NZ"/>
        </w:rPr>
      </w:pPr>
      <w:r w:rsidRPr="00881326">
        <w:rPr>
          <w:b/>
          <w:lang w:val="en-NZ"/>
        </w:rPr>
        <w:t>6.1 Arab Spectrum Management Group (ASMG)</w:t>
      </w:r>
    </w:p>
    <w:p w14:paraId="478D2681" w14:textId="37CAF3C8" w:rsidR="00773B61" w:rsidRDefault="000A399F" w:rsidP="00017F67">
      <w:pPr>
        <w:spacing w:after="120"/>
        <w:jc w:val="both"/>
      </w:pPr>
      <w:r w:rsidRPr="00881326">
        <w:t xml:space="preserve">Protect the fixed-satellite service systems in GSO either by adequate </w:t>
      </w:r>
      <w:proofErr w:type="spellStart"/>
      <w:r w:rsidRPr="00881326">
        <w:t>epfd</w:t>
      </w:r>
      <w:proofErr w:type="spellEnd"/>
      <w:r w:rsidRPr="00881326">
        <w:t xml:space="preserve"> levels or any other methodologies or according to wave propagation models in the frequency bands above 30 GHz.</w:t>
      </w:r>
    </w:p>
    <w:p w14:paraId="0D0AECD2" w14:textId="5BC96C7D" w:rsidR="00773B61" w:rsidRDefault="000A399F" w:rsidP="00017F67">
      <w:pPr>
        <w:spacing w:after="120"/>
        <w:jc w:val="both"/>
      </w:pPr>
      <w:r w:rsidRPr="00881326">
        <w:t xml:space="preserve">Consult the satellite operators of the team to determine the </w:t>
      </w:r>
      <w:proofErr w:type="spellStart"/>
      <w:r w:rsidRPr="00881326">
        <w:t>epfd</w:t>
      </w:r>
      <w:proofErr w:type="spellEnd"/>
      <w:r w:rsidRPr="00881326">
        <w:t xml:space="preserve"> value that ensures the protection of the satellite networks in the geostationary orbital positions and the opinion for the proposed mechanism.</w:t>
      </w:r>
    </w:p>
    <w:p w14:paraId="703714AA" w14:textId="56920B21" w:rsidR="00FA0E13" w:rsidRPr="00CD1F3D" w:rsidRDefault="00FA0E13" w:rsidP="00FA0E13">
      <w:pPr>
        <w:spacing w:after="120"/>
        <w:jc w:val="both"/>
        <w:rPr>
          <w:b/>
        </w:rPr>
      </w:pPr>
      <w:r w:rsidRPr="00CD1F3D">
        <w:rPr>
          <w:b/>
        </w:rPr>
        <w:t>6.</w:t>
      </w:r>
      <w:r>
        <w:rPr>
          <w:b/>
        </w:rPr>
        <w:t>2</w:t>
      </w:r>
      <w:r w:rsidRPr="00CD1F3D">
        <w:rPr>
          <w:b/>
        </w:rPr>
        <w:t xml:space="preserve"> </w:t>
      </w:r>
      <w:r>
        <w:rPr>
          <w:b/>
        </w:rPr>
        <w:t>European Conference of Postal and Telecommunications Administrations</w:t>
      </w:r>
      <w:r w:rsidRPr="00CD1F3D">
        <w:rPr>
          <w:b/>
        </w:rPr>
        <w:t xml:space="preserve"> (CEPT)</w:t>
      </w:r>
    </w:p>
    <w:p w14:paraId="0C20C2C2" w14:textId="77777777" w:rsidR="00FA0E13" w:rsidRDefault="00FA0E13" w:rsidP="00FA0E13">
      <w:pPr>
        <w:spacing w:after="120"/>
        <w:jc w:val="both"/>
        <w:rPr>
          <w:lang w:val="en-GB"/>
        </w:rPr>
      </w:pPr>
      <w:r w:rsidRPr="008855FE">
        <w:rPr>
          <w:lang w:val="en-GB"/>
        </w:rPr>
        <w:t>CEPT considers that studies for the development of regulatory provisions and technical and operational conditions shall ensure protection for GSO satellite networks and stations of other existing services including passive services in the adjacent frequency bands. To ensure the protection of the EESS (passive) and RAS.</w:t>
      </w:r>
    </w:p>
    <w:p w14:paraId="5FDC4FD6" w14:textId="77777777" w:rsidR="00FA0E13" w:rsidRDefault="00FA0E13" w:rsidP="00FA0E13">
      <w:pPr>
        <w:spacing w:after="120"/>
        <w:jc w:val="both"/>
        <w:rPr>
          <w:lang w:val="en-GB"/>
        </w:rPr>
      </w:pPr>
      <w:r w:rsidRPr="008855FE">
        <w:rPr>
          <w:lang w:val="en-GB"/>
        </w:rPr>
        <w:t>CEPT supports to study the effects of aggregate FSS interference from GSO satellite networks and NGSO systems operating in the relevant bands.</w:t>
      </w:r>
    </w:p>
    <w:p w14:paraId="21EFA9E6" w14:textId="77777777" w:rsidR="00FA0E13" w:rsidRDefault="00FA0E13" w:rsidP="00FA0E13">
      <w:pPr>
        <w:spacing w:after="120"/>
        <w:jc w:val="both"/>
        <w:rPr>
          <w:lang w:val="en-NZ"/>
        </w:rPr>
      </w:pPr>
      <w:r w:rsidRPr="004A5F8F">
        <w:rPr>
          <w:lang w:val="en-NZ"/>
        </w:rPr>
        <w:lastRenderedPageBreak/>
        <w:t>CEPT considers that the criteria based on Recommendation ITU-R S.1323 or other new</w:t>
      </w:r>
      <w:r>
        <w:rPr>
          <w:lang w:val="en-NZ"/>
        </w:rPr>
        <w:t xml:space="preserve"> </w:t>
      </w:r>
      <w:r w:rsidRPr="004A5F8F">
        <w:rPr>
          <w:lang w:val="en-NZ"/>
        </w:rPr>
        <w:t xml:space="preserve">possible ITU-R Recommendation shall be used while developing the aggregate </w:t>
      </w:r>
      <w:proofErr w:type="spellStart"/>
      <w:r w:rsidRPr="004A5F8F">
        <w:rPr>
          <w:lang w:val="en-NZ"/>
        </w:rPr>
        <w:t>epfd</w:t>
      </w:r>
      <w:proofErr w:type="spellEnd"/>
      <w:r>
        <w:rPr>
          <w:lang w:val="en-NZ"/>
        </w:rPr>
        <w:t xml:space="preserve"> </w:t>
      </w:r>
      <w:r w:rsidRPr="004A5F8F">
        <w:rPr>
          <w:lang w:val="en-NZ"/>
        </w:rPr>
        <w:t>limits for protection of GSO networks. CEPT supports a methodology of interference</w:t>
      </w:r>
      <w:r>
        <w:rPr>
          <w:lang w:val="en-NZ"/>
        </w:rPr>
        <w:t xml:space="preserve"> </w:t>
      </w:r>
      <w:r w:rsidRPr="004A5F8F">
        <w:rPr>
          <w:lang w:val="en-NZ"/>
        </w:rPr>
        <w:t>assessment that takes into account the correlation between a fading event attenuating</w:t>
      </w:r>
      <w:r>
        <w:rPr>
          <w:lang w:val="en-NZ"/>
        </w:rPr>
        <w:t xml:space="preserve"> </w:t>
      </w:r>
      <w:r w:rsidRPr="004A5F8F">
        <w:rPr>
          <w:lang w:val="en-NZ"/>
        </w:rPr>
        <w:t>both the wanted signal and interfering signals in the frequency bands 40/50 GHz.</w:t>
      </w:r>
      <w:r>
        <w:rPr>
          <w:lang w:val="en-NZ"/>
        </w:rPr>
        <w:t xml:space="preserve"> </w:t>
      </w:r>
    </w:p>
    <w:p w14:paraId="29DF2264" w14:textId="16B1201E" w:rsidR="00FA0E13" w:rsidRDefault="00FA0E13" w:rsidP="00FA0E13">
      <w:pPr>
        <w:jc w:val="both"/>
        <w:rPr>
          <w:lang w:val="en-NZ"/>
        </w:rPr>
      </w:pPr>
      <w:r w:rsidRPr="004A5F8F">
        <w:rPr>
          <w:lang w:val="en-NZ"/>
        </w:rPr>
        <w:t>CEPT supports further studies on methodology of interference assessment applicable to</w:t>
      </w:r>
      <w:r>
        <w:rPr>
          <w:lang w:val="en-NZ"/>
        </w:rPr>
        <w:t xml:space="preserve"> </w:t>
      </w:r>
      <w:r w:rsidRPr="004A5F8F">
        <w:rPr>
          <w:lang w:val="en-NZ"/>
        </w:rPr>
        <w:t>frequency bands above 30 GHz to verify compliance with the criteria in Recommendation</w:t>
      </w:r>
      <w:r>
        <w:rPr>
          <w:lang w:val="en-NZ"/>
        </w:rPr>
        <w:t xml:space="preserve"> </w:t>
      </w:r>
      <w:r w:rsidRPr="004A5F8F">
        <w:rPr>
          <w:lang w:val="en-NZ"/>
        </w:rPr>
        <w:t>ITU-R S.1323</w:t>
      </w:r>
      <w:r>
        <w:rPr>
          <w:lang w:val="en-NZ"/>
        </w:rPr>
        <w:t>.</w:t>
      </w:r>
    </w:p>
    <w:p w14:paraId="3BC1D910" w14:textId="77777777" w:rsidR="00FA0E13" w:rsidRDefault="00FA0E13" w:rsidP="00FA0E13">
      <w:pPr>
        <w:jc w:val="both"/>
      </w:pPr>
    </w:p>
    <w:p w14:paraId="2903BF47" w14:textId="1DD354B4" w:rsidR="001E4D99" w:rsidRPr="001E4D99" w:rsidRDefault="001E4D99" w:rsidP="00017F67">
      <w:pPr>
        <w:spacing w:after="120"/>
        <w:jc w:val="both"/>
        <w:rPr>
          <w:b/>
          <w:lang w:val="en-NZ"/>
        </w:rPr>
      </w:pPr>
      <w:r w:rsidRPr="001E4D99">
        <w:rPr>
          <w:b/>
          <w:lang w:val="en-NZ"/>
        </w:rPr>
        <w:t>6.</w:t>
      </w:r>
      <w:r w:rsidR="00FA0E13">
        <w:rPr>
          <w:b/>
          <w:lang w:val="en-NZ"/>
        </w:rPr>
        <w:t>3</w:t>
      </w:r>
      <w:r w:rsidRPr="001E4D99">
        <w:rPr>
          <w:b/>
          <w:lang w:val="en-NZ"/>
        </w:rPr>
        <w:t xml:space="preserve"> </w:t>
      </w:r>
      <w:r w:rsidR="00881326">
        <w:rPr>
          <w:b/>
          <w:lang w:val="en-NZ"/>
        </w:rPr>
        <w:t>Inter-American Telecommunication Commission (</w:t>
      </w:r>
      <w:r w:rsidRPr="001E4D99">
        <w:rPr>
          <w:b/>
          <w:lang w:val="en-NZ"/>
        </w:rPr>
        <w:t>CITEL</w:t>
      </w:r>
      <w:r w:rsidR="00881326">
        <w:rPr>
          <w:b/>
          <w:lang w:val="en-NZ"/>
        </w:rPr>
        <w:t>)</w:t>
      </w:r>
    </w:p>
    <w:p w14:paraId="3ED99626" w14:textId="77777777" w:rsidR="001E4D99" w:rsidRPr="001E4D99" w:rsidRDefault="001E4D99" w:rsidP="00017F67">
      <w:pPr>
        <w:spacing w:after="120"/>
        <w:jc w:val="both"/>
        <w:rPr>
          <w:lang w:val="en-NZ"/>
        </w:rPr>
      </w:pPr>
      <w:r w:rsidRPr="001E4D99">
        <w:rPr>
          <w:lang w:val="en-NZ"/>
        </w:rPr>
        <w:t>CAN</w:t>
      </w:r>
    </w:p>
    <w:p w14:paraId="1742ABAF" w14:textId="6C4DD4F8" w:rsidR="001E4D99" w:rsidRPr="001E4D99" w:rsidRDefault="001E4D99" w:rsidP="00017F67">
      <w:pPr>
        <w:spacing w:after="120"/>
        <w:jc w:val="both"/>
        <w:rPr>
          <w:lang w:val="en-NZ"/>
        </w:rPr>
      </w:pPr>
      <w:r w:rsidRPr="001E4D99">
        <w:rPr>
          <w:lang w:val="en-NZ"/>
        </w:rPr>
        <w:t>Canada supports the studies under Resolution 159 (WRC-15) to develop a regulatory framework for new</w:t>
      </w:r>
      <w:r>
        <w:rPr>
          <w:lang w:val="en-NZ"/>
        </w:rPr>
        <w:t xml:space="preserve"> </w:t>
      </w:r>
      <w:r w:rsidRPr="001E4D99">
        <w:rPr>
          <w:lang w:val="en-NZ"/>
        </w:rPr>
        <w:t>non-GSO FSS satellite systems. For the band 36-37 GHz: Canada is of the view that based on the</w:t>
      </w:r>
      <w:r>
        <w:rPr>
          <w:lang w:val="en-NZ"/>
        </w:rPr>
        <w:t xml:space="preserve"> </w:t>
      </w:r>
      <w:r w:rsidRPr="001E4D99">
        <w:rPr>
          <w:lang w:val="en-NZ"/>
        </w:rPr>
        <w:t>results of studies, EESS (passive) systems operating in the 36- 37 GHz band and non-GSO FSS</w:t>
      </w:r>
      <w:r>
        <w:rPr>
          <w:lang w:val="en-NZ"/>
        </w:rPr>
        <w:t xml:space="preserve"> </w:t>
      </w:r>
      <w:r w:rsidRPr="001E4D99">
        <w:rPr>
          <w:lang w:val="en-NZ"/>
        </w:rPr>
        <w:t>systems are compatible and no regulatory measures are required to address the compatibility between</w:t>
      </w:r>
      <w:r>
        <w:rPr>
          <w:lang w:val="en-NZ"/>
        </w:rPr>
        <w:t xml:space="preserve"> </w:t>
      </w:r>
      <w:r w:rsidRPr="001E4D99">
        <w:rPr>
          <w:lang w:val="en-NZ"/>
        </w:rPr>
        <w:t>these two services. For the band 50.2-50.4 GHz: Canada is of the view that based on the results of</w:t>
      </w:r>
      <w:r>
        <w:rPr>
          <w:lang w:val="en-NZ"/>
        </w:rPr>
        <w:t xml:space="preserve"> </w:t>
      </w:r>
      <w:r w:rsidRPr="001E4D99">
        <w:rPr>
          <w:lang w:val="en-NZ"/>
        </w:rPr>
        <w:t>studies, mitigation techniques and/or regulatory measures may be required to ensure compatibility</w:t>
      </w:r>
      <w:r>
        <w:rPr>
          <w:lang w:val="en-NZ"/>
        </w:rPr>
        <w:t xml:space="preserve"> </w:t>
      </w:r>
      <w:r w:rsidRPr="001E4D99">
        <w:rPr>
          <w:lang w:val="en-NZ"/>
        </w:rPr>
        <w:t>between EESS (passive) systems operating in the band 50.2-50.4 GHz and non-GSO FSS systems.</w:t>
      </w:r>
    </w:p>
    <w:p w14:paraId="73C119E9" w14:textId="57752E27" w:rsidR="001E4D99" w:rsidRPr="001E4D99" w:rsidRDefault="001E4D99" w:rsidP="00017F67">
      <w:pPr>
        <w:spacing w:after="120"/>
        <w:jc w:val="both"/>
        <w:rPr>
          <w:lang w:val="en-NZ"/>
        </w:rPr>
      </w:pPr>
      <w:r w:rsidRPr="001E4D99">
        <w:rPr>
          <w:lang w:val="en-NZ"/>
        </w:rPr>
        <w:t>USA</w:t>
      </w:r>
    </w:p>
    <w:p w14:paraId="1A27068E" w14:textId="2F1A7649" w:rsidR="001E4D99" w:rsidRDefault="001E4D99" w:rsidP="00FA0E13">
      <w:pPr>
        <w:jc w:val="both"/>
        <w:rPr>
          <w:lang w:val="en-NZ"/>
        </w:rPr>
      </w:pPr>
      <w:r w:rsidRPr="001E4D99">
        <w:rPr>
          <w:lang w:val="en-NZ"/>
        </w:rPr>
        <w:t>The United States supports studies under WRC-19 Agenda Item 1.6 regarding the development of a</w:t>
      </w:r>
      <w:r>
        <w:rPr>
          <w:lang w:val="en-NZ"/>
        </w:rPr>
        <w:t xml:space="preserve"> </w:t>
      </w:r>
      <w:r w:rsidRPr="001E4D99">
        <w:rPr>
          <w:lang w:val="en-NZ"/>
        </w:rPr>
        <w:t>regulatory framework for non-GSO satellite systems in the existing FSS allocations in the 37.5-39.5 GHz</w:t>
      </w:r>
      <w:r>
        <w:rPr>
          <w:lang w:val="en-NZ"/>
        </w:rPr>
        <w:t xml:space="preserve"> </w:t>
      </w:r>
      <w:r w:rsidRPr="001E4D99">
        <w:rPr>
          <w:lang w:val="en-NZ"/>
        </w:rPr>
        <w:t>(space-to-Earth), 39.5-42.5 GHz (space-to-Earth), 47.2-50.2 GHz (Earth-to-space) and 50.4-51.4 GHz</w:t>
      </w:r>
      <w:r>
        <w:rPr>
          <w:lang w:val="en-NZ"/>
        </w:rPr>
        <w:t xml:space="preserve"> </w:t>
      </w:r>
      <w:r w:rsidRPr="001E4D99">
        <w:rPr>
          <w:lang w:val="en-NZ"/>
        </w:rPr>
        <w:t>(Earth-to-space) frequency bands under the terms of Resolution 159 (WRC-15) and to take appropriate</w:t>
      </w:r>
      <w:r>
        <w:rPr>
          <w:lang w:val="en-NZ"/>
        </w:rPr>
        <w:t xml:space="preserve"> </w:t>
      </w:r>
      <w:r w:rsidRPr="001E4D99">
        <w:rPr>
          <w:lang w:val="en-NZ"/>
        </w:rPr>
        <w:t>action based on the results of these studies.</w:t>
      </w:r>
    </w:p>
    <w:p w14:paraId="3DFCB8A6" w14:textId="77777777" w:rsidR="00FA0E13" w:rsidRDefault="00FA0E13" w:rsidP="00FA0E13">
      <w:pPr>
        <w:jc w:val="both"/>
        <w:rPr>
          <w:lang w:val="en-NZ"/>
        </w:rPr>
      </w:pPr>
    </w:p>
    <w:p w14:paraId="656E7BF7" w14:textId="7C6EB402" w:rsidR="001E4D99" w:rsidRDefault="00881326" w:rsidP="00017F67">
      <w:pPr>
        <w:spacing w:after="120"/>
        <w:jc w:val="both"/>
        <w:rPr>
          <w:b/>
          <w:lang w:val="en-NZ"/>
        </w:rPr>
      </w:pPr>
      <w:r>
        <w:rPr>
          <w:b/>
          <w:lang w:val="en-NZ"/>
        </w:rPr>
        <w:t>6.</w:t>
      </w:r>
      <w:r w:rsidR="00FA0E13">
        <w:rPr>
          <w:b/>
          <w:lang w:val="en-NZ"/>
        </w:rPr>
        <w:t>4</w:t>
      </w:r>
      <w:r w:rsidR="001E4D99">
        <w:rPr>
          <w:b/>
          <w:lang w:val="en-NZ"/>
        </w:rPr>
        <w:t xml:space="preserve"> Regional Commonwealth in the field of Communications (RCC)</w:t>
      </w:r>
    </w:p>
    <w:p w14:paraId="0C465F1E" w14:textId="484433F0" w:rsidR="001E4D99" w:rsidRDefault="001E4D99" w:rsidP="00017F67">
      <w:pPr>
        <w:tabs>
          <w:tab w:val="left" w:pos="794"/>
          <w:tab w:val="left" w:pos="1191"/>
          <w:tab w:val="left" w:pos="1588"/>
          <w:tab w:val="left" w:pos="1985"/>
        </w:tabs>
        <w:overflowPunct w:val="0"/>
        <w:autoSpaceDE w:val="0"/>
        <w:autoSpaceDN w:val="0"/>
        <w:adjustRightInd w:val="0"/>
        <w:spacing w:after="120"/>
        <w:jc w:val="both"/>
        <w:rPr>
          <w:rFonts w:eastAsia="Times New Roman"/>
        </w:rPr>
      </w:pPr>
      <w:r w:rsidRPr="001E4D99">
        <w:rPr>
          <w:rFonts w:eastAsia="Times New Roman"/>
        </w:rPr>
        <w:t>The RCC Administrations consider that studies on technical and operational issues and regulatory provisions in order to ensure operation of non-GSO FSS satellite systems in the frequency bands 37.5-42.5 GHz (space-to-Earth), 47.2-48.9 GHz (limited to feeder links), 48.9-50.2 GHz (Earth-to-space) and 50.4-51.4 GHz (Earth-to-space) shall ensure protection to GSO satellite networks in FSS, MSS and BSS, and also to stations of other existing services in the same and adjacent frequency bands.</w:t>
      </w:r>
    </w:p>
    <w:p w14:paraId="02BBA6C4" w14:textId="77777777" w:rsidR="001E4D99" w:rsidRPr="001E4D99" w:rsidRDefault="001E4D99" w:rsidP="00017F67">
      <w:pPr>
        <w:tabs>
          <w:tab w:val="left" w:pos="794"/>
          <w:tab w:val="left" w:pos="1191"/>
          <w:tab w:val="left" w:pos="1588"/>
          <w:tab w:val="left" w:pos="1985"/>
        </w:tabs>
        <w:overflowPunct w:val="0"/>
        <w:autoSpaceDE w:val="0"/>
        <w:autoSpaceDN w:val="0"/>
        <w:adjustRightInd w:val="0"/>
        <w:spacing w:after="120"/>
        <w:jc w:val="both"/>
        <w:rPr>
          <w:rFonts w:eastAsia="Times New Roman"/>
        </w:rPr>
      </w:pPr>
      <w:r w:rsidRPr="001E4D99">
        <w:rPr>
          <w:rFonts w:eastAsia="Times New Roman"/>
        </w:rPr>
        <w:t>The RCC Administrations consider that technical conditions and regulatory provisions shall be developed to ensure sharing of the considered frequency bands between non-GSO FSS systems.</w:t>
      </w:r>
    </w:p>
    <w:p w14:paraId="73F96EC3" w14:textId="54CDCABC" w:rsidR="001E4D99" w:rsidRDefault="001E4D99" w:rsidP="00017F67">
      <w:pPr>
        <w:tabs>
          <w:tab w:val="left" w:pos="794"/>
          <w:tab w:val="left" w:pos="1191"/>
          <w:tab w:val="left" w:pos="1588"/>
          <w:tab w:val="left" w:pos="1985"/>
        </w:tabs>
        <w:overflowPunct w:val="0"/>
        <w:autoSpaceDE w:val="0"/>
        <w:autoSpaceDN w:val="0"/>
        <w:adjustRightInd w:val="0"/>
        <w:spacing w:after="120"/>
        <w:jc w:val="both"/>
        <w:rPr>
          <w:rFonts w:eastAsia="Times New Roman"/>
        </w:rPr>
      </w:pPr>
      <w:r w:rsidRPr="001E4D99">
        <w:rPr>
          <w:rFonts w:eastAsia="Times New Roman"/>
        </w:rPr>
        <w:t xml:space="preserve">The RCC Administrations consider that when conducting studies, protection shall be ensured to EESS (passive) in the frequency bands </w:t>
      </w:r>
      <w:r w:rsidRPr="001E4D99">
        <w:rPr>
          <w:rFonts w:eastAsia="TimesNewRoman,Bold"/>
          <w:bCs/>
        </w:rPr>
        <w:t xml:space="preserve">36-37 GHz, 47.5-48.5 GHz and 50.2-50.4 GHz, and also to the radio astronomy service in the frequency bands </w:t>
      </w:r>
      <w:r w:rsidRPr="001E4D99">
        <w:rPr>
          <w:rFonts w:eastAsia="Times New Roman"/>
        </w:rPr>
        <w:t>42.5-43.5 GHz, 48.94-49.04 GHz and 51.4-54.25 GHz from non-GSO FSS transmissions.</w:t>
      </w:r>
    </w:p>
    <w:p w14:paraId="431B2C92" w14:textId="0E10B808" w:rsidR="001E4D99" w:rsidRDefault="001E4D99" w:rsidP="00017F67">
      <w:pPr>
        <w:tabs>
          <w:tab w:val="left" w:pos="794"/>
          <w:tab w:val="left" w:pos="1191"/>
          <w:tab w:val="left" w:pos="1588"/>
          <w:tab w:val="left" w:pos="1985"/>
        </w:tabs>
        <w:overflowPunct w:val="0"/>
        <w:autoSpaceDE w:val="0"/>
        <w:autoSpaceDN w:val="0"/>
        <w:adjustRightInd w:val="0"/>
        <w:spacing w:after="120"/>
        <w:jc w:val="both"/>
        <w:rPr>
          <w:rFonts w:eastAsia="Times New Roman"/>
        </w:rPr>
      </w:pPr>
      <w:r w:rsidRPr="001E4D99">
        <w:rPr>
          <w:rFonts w:eastAsia="Times New Roman"/>
        </w:rPr>
        <w:t>The RCC Administrations find it reasonable to study the impact of aggregate interference from GSO FSS networks and non-GSO FSS systems operated or planned to be operated in the frequency bands 37.5-42.5 GHz (space-to-Earth), 47.2-48.9 GHz (limited to feeder links), 48.9-50.2 GHz (Earth-to-space) and 50.4-51.4 GHz (Earth-to-space) with the purpose of possible revision of Resolution</w:t>
      </w:r>
      <w:r w:rsidRPr="001E4D99">
        <w:rPr>
          <w:rFonts w:eastAsia="Times New Roman"/>
          <w:b/>
          <w:i/>
          <w:sz w:val="22"/>
          <w:szCs w:val="22"/>
        </w:rPr>
        <w:t xml:space="preserve"> </w:t>
      </w:r>
      <w:r w:rsidRPr="001E4D99">
        <w:rPr>
          <w:rFonts w:eastAsia="Times New Roman"/>
          <w:b/>
        </w:rPr>
        <w:t>750 (Rev. WRC-15)</w:t>
      </w:r>
      <w:r w:rsidRPr="001E4D99">
        <w:rPr>
          <w:rFonts w:eastAsia="Times New Roman"/>
        </w:rPr>
        <w:t xml:space="preserve"> "Compatibility between the Earth exploration-satellite service (passive) and relevant active services".</w:t>
      </w:r>
    </w:p>
    <w:p w14:paraId="0489C604" w14:textId="77777777" w:rsidR="001E4D99" w:rsidRPr="001E4D99" w:rsidRDefault="001E4D99" w:rsidP="00017F67">
      <w:pPr>
        <w:tabs>
          <w:tab w:val="left" w:pos="794"/>
          <w:tab w:val="left" w:pos="1191"/>
          <w:tab w:val="left" w:pos="1588"/>
          <w:tab w:val="left" w:pos="1985"/>
        </w:tabs>
        <w:overflowPunct w:val="0"/>
        <w:autoSpaceDE w:val="0"/>
        <w:autoSpaceDN w:val="0"/>
        <w:adjustRightInd w:val="0"/>
        <w:spacing w:after="120"/>
        <w:jc w:val="both"/>
        <w:rPr>
          <w:rFonts w:eastAsia="Times New Roman"/>
        </w:rPr>
      </w:pPr>
      <w:r w:rsidRPr="001E4D99">
        <w:rPr>
          <w:rFonts w:eastAsia="Times New Roman"/>
        </w:rPr>
        <w:t>The RCC Administrations consider it reasonable to study modification of interference assessment methodology specified in the Recommendation ITU-R S.1323 (Methodology A) with the purpose to broaden applicability of this recommendation in the frequency bands above 30 GHz.</w:t>
      </w:r>
    </w:p>
    <w:p w14:paraId="2E0E6763" w14:textId="427731CD" w:rsidR="00B64A60" w:rsidRPr="008D046E" w:rsidRDefault="00D53688" w:rsidP="00017F67">
      <w:pPr>
        <w:spacing w:after="120"/>
        <w:jc w:val="both"/>
        <w:rPr>
          <w:b/>
          <w:lang w:val="en-NZ" w:eastAsia="ko-KR"/>
        </w:rPr>
      </w:pPr>
      <w:bookmarkStart w:id="1" w:name="_GoBack"/>
      <w:bookmarkEnd w:id="1"/>
      <w:r>
        <w:rPr>
          <w:b/>
          <w:lang w:val="en-NZ" w:eastAsia="ko-KR"/>
        </w:rPr>
        <w:lastRenderedPageBreak/>
        <w:t>7</w:t>
      </w:r>
      <w:r w:rsidR="00B64A60">
        <w:rPr>
          <w:b/>
          <w:lang w:val="en-NZ" w:eastAsia="ko-KR"/>
        </w:rPr>
        <w:t>.</w:t>
      </w:r>
      <w:r w:rsidR="00B64A60" w:rsidRPr="008D046E">
        <w:rPr>
          <w:b/>
          <w:lang w:val="en-NZ" w:eastAsia="ko-KR"/>
        </w:rPr>
        <w:t xml:space="preserve"> </w:t>
      </w:r>
      <w:r w:rsidR="00B64A60" w:rsidRPr="008D046E">
        <w:rPr>
          <w:b/>
          <w:lang w:val="en-NZ" w:eastAsia="ko-KR"/>
        </w:rPr>
        <w:tab/>
        <w:t xml:space="preserve">Issues for </w:t>
      </w:r>
      <w:r w:rsidR="00585F3C">
        <w:rPr>
          <w:b/>
          <w:lang w:val="en-NZ" w:eastAsia="ko-KR"/>
        </w:rPr>
        <w:t>C</w:t>
      </w:r>
      <w:r w:rsidR="00B64A60" w:rsidRPr="008D046E">
        <w:rPr>
          <w:b/>
          <w:lang w:val="en-NZ" w:eastAsia="ko-KR"/>
        </w:rPr>
        <w:t xml:space="preserve">onsideration at </w:t>
      </w:r>
      <w:r w:rsidR="00585F3C">
        <w:rPr>
          <w:b/>
          <w:lang w:val="en-NZ" w:eastAsia="ko-KR"/>
        </w:rPr>
        <w:t>N</w:t>
      </w:r>
      <w:r w:rsidR="00B64A60" w:rsidRPr="008D046E">
        <w:rPr>
          <w:b/>
          <w:lang w:val="en-NZ" w:eastAsia="ko-KR"/>
        </w:rPr>
        <w:t xml:space="preserve">ext APG </w:t>
      </w:r>
      <w:r w:rsidR="00585F3C">
        <w:rPr>
          <w:b/>
          <w:lang w:val="en-NZ" w:eastAsia="ko-KR"/>
        </w:rPr>
        <w:t>M</w:t>
      </w:r>
      <w:r w:rsidR="00B64A60" w:rsidRPr="008D046E">
        <w:rPr>
          <w:b/>
          <w:lang w:val="en-NZ" w:eastAsia="ko-KR"/>
        </w:rPr>
        <w:t>eeting</w:t>
      </w:r>
    </w:p>
    <w:p w14:paraId="2E0E6767" w14:textId="5FA41300" w:rsidR="00B64A60" w:rsidRPr="00710333" w:rsidRDefault="00CB012C" w:rsidP="00017F67">
      <w:pPr>
        <w:spacing w:after="120"/>
        <w:jc w:val="both"/>
        <w:rPr>
          <w:lang w:val="en-NZ"/>
        </w:rPr>
      </w:pPr>
      <w:r>
        <w:rPr>
          <w:lang w:val="en-NZ"/>
        </w:rPr>
        <w:t>Update the country positions and APT preliminary views based on the progress of studies.</w:t>
      </w:r>
    </w:p>
    <w:p w14:paraId="35B37F13" w14:textId="77777777" w:rsidR="00570E20" w:rsidRPr="004F6AAB" w:rsidRDefault="00570E20" w:rsidP="00017F67">
      <w:pPr>
        <w:spacing w:after="120"/>
        <w:jc w:val="both"/>
        <w:rPr>
          <w:b/>
          <w:lang w:val="en-NZ"/>
        </w:rPr>
      </w:pPr>
    </w:p>
    <w:p w14:paraId="2E0E6770" w14:textId="77777777" w:rsidR="00B64A60" w:rsidRPr="00710333" w:rsidRDefault="00B64A60" w:rsidP="00017F67">
      <w:pPr>
        <w:jc w:val="center"/>
        <w:rPr>
          <w:snapToGrid w:val="0"/>
          <w:lang w:val="en-NZ"/>
        </w:rPr>
      </w:pPr>
      <w:r w:rsidRPr="00710333">
        <w:rPr>
          <w:lang w:val="en-NZ"/>
        </w:rPr>
        <w:t>____________</w:t>
      </w:r>
    </w:p>
    <w:p w14:paraId="2E0E6771" w14:textId="77777777" w:rsidR="00930E64" w:rsidRPr="007673CA" w:rsidRDefault="00930E64" w:rsidP="00017F67">
      <w:pPr>
        <w:jc w:val="both"/>
        <w:rPr>
          <w:lang w:val="en-NZ"/>
        </w:rPr>
      </w:pPr>
    </w:p>
    <w:sectPr w:rsidR="00930E64" w:rsidRPr="007673CA"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DE444" w14:textId="77777777" w:rsidR="00B70AA7" w:rsidRDefault="00B70AA7">
      <w:r>
        <w:separator/>
      </w:r>
    </w:p>
  </w:endnote>
  <w:endnote w:type="continuationSeparator" w:id="0">
    <w:p w14:paraId="4C915DC1" w14:textId="77777777" w:rsidR="00B70AA7" w:rsidRDefault="00B7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0C1AA164" w:rsidR="0097693B" w:rsidRDefault="005E1C89" w:rsidP="005E1C89">
    <w:pPr>
      <w:pStyle w:val="Footer"/>
      <w:ind w:right="360"/>
    </w:pPr>
    <w:r>
      <w:rPr>
        <w:rFonts w:hint="eastAsia"/>
        <w:lang w:eastAsia="ko-KR"/>
      </w:rPr>
      <w:t>A</w:t>
    </w:r>
    <w:r>
      <w:rPr>
        <w:lang w:eastAsia="ko-KR"/>
      </w:rPr>
      <w:t>PG19-2/OUT-05</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F85EF2">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F85EF2">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14:paraId="2E0E6780" w14:textId="77777777">
      <w:trPr>
        <w:cantSplit/>
        <w:trHeight w:val="204"/>
        <w:jc w:val="center"/>
      </w:trPr>
      <w:tc>
        <w:tcPr>
          <w:tcW w:w="1617" w:type="dxa"/>
          <w:tcBorders>
            <w:top w:val="single" w:sz="12" w:space="0" w:color="auto"/>
          </w:tcBorders>
        </w:tcPr>
        <w:p w14:paraId="2E0E677D" w14:textId="77777777" w:rsidR="0097693B" w:rsidRDefault="0097693B" w:rsidP="00762576">
          <w:pPr>
            <w:rPr>
              <w:b/>
              <w:bCs/>
            </w:rPr>
          </w:pPr>
        </w:p>
      </w:tc>
      <w:tc>
        <w:tcPr>
          <w:tcW w:w="4394" w:type="dxa"/>
          <w:tcBorders>
            <w:top w:val="single" w:sz="12" w:space="0" w:color="auto"/>
          </w:tcBorders>
        </w:tcPr>
        <w:p w14:paraId="2E0E677E" w14:textId="77777777" w:rsidR="0097693B" w:rsidRDefault="0097693B" w:rsidP="00762576">
          <w:pPr>
            <w:rPr>
              <w:rFonts w:eastAsia="Batang"/>
            </w:rPr>
          </w:pPr>
        </w:p>
      </w:tc>
      <w:tc>
        <w:tcPr>
          <w:tcW w:w="3912" w:type="dxa"/>
          <w:tcBorders>
            <w:top w:val="single" w:sz="12" w:space="0" w:color="auto"/>
          </w:tcBorders>
        </w:tcPr>
        <w:p w14:paraId="2E0E677F" w14:textId="77777777" w:rsidR="0097693B" w:rsidRDefault="0097693B" w:rsidP="00762576">
          <w:pPr>
            <w:rPr>
              <w:lang w:eastAsia="ja-JP"/>
            </w:rPr>
          </w:pPr>
        </w:p>
      </w:tc>
    </w:tr>
  </w:tbl>
  <w:p w14:paraId="2E0E6781"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45305" w14:textId="77777777" w:rsidR="00B70AA7" w:rsidRDefault="00B70AA7">
      <w:r>
        <w:separator/>
      </w:r>
    </w:p>
  </w:footnote>
  <w:footnote w:type="continuationSeparator" w:id="0">
    <w:p w14:paraId="1F15FE0B" w14:textId="77777777" w:rsidR="00B70AA7" w:rsidRDefault="00B70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6AB7C7F2"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31A"/>
    <w:multiLevelType w:val="hybridMultilevel"/>
    <w:tmpl w:val="7FE88854"/>
    <w:lvl w:ilvl="0" w:tplc="E25A5B3C">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2A96A64"/>
    <w:multiLevelType w:val="hybridMultilevel"/>
    <w:tmpl w:val="BE1CC106"/>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AD1768"/>
    <w:multiLevelType w:val="hybridMultilevel"/>
    <w:tmpl w:val="4A3EC3D4"/>
    <w:lvl w:ilvl="0" w:tplc="551A62C6">
      <w:start w:val="1"/>
      <w:numFmt w:val="bullet"/>
      <w:lvlText w:val="o"/>
      <w:lvlJc w:val="left"/>
      <w:pPr>
        <w:tabs>
          <w:tab w:val="num" w:pos="720"/>
        </w:tabs>
        <w:ind w:left="720" w:hanging="360"/>
      </w:pPr>
      <w:rPr>
        <w:rFonts w:ascii="Courier New" w:hAnsi="Courier New" w:hint="default"/>
      </w:rPr>
    </w:lvl>
    <w:lvl w:ilvl="1" w:tplc="9AC4FC1C">
      <w:start w:val="1"/>
      <w:numFmt w:val="bullet"/>
      <w:lvlText w:val="o"/>
      <w:lvlJc w:val="left"/>
      <w:pPr>
        <w:tabs>
          <w:tab w:val="num" w:pos="1440"/>
        </w:tabs>
        <w:ind w:left="1440" w:hanging="360"/>
      </w:pPr>
      <w:rPr>
        <w:rFonts w:ascii="Courier New" w:hAnsi="Courier New" w:hint="default"/>
      </w:rPr>
    </w:lvl>
    <w:lvl w:ilvl="2" w:tplc="7DF23BFE" w:tentative="1">
      <w:start w:val="1"/>
      <w:numFmt w:val="bullet"/>
      <w:lvlText w:val="o"/>
      <w:lvlJc w:val="left"/>
      <w:pPr>
        <w:tabs>
          <w:tab w:val="num" w:pos="2160"/>
        </w:tabs>
        <w:ind w:left="2160" w:hanging="360"/>
      </w:pPr>
      <w:rPr>
        <w:rFonts w:ascii="Courier New" w:hAnsi="Courier New" w:hint="default"/>
      </w:rPr>
    </w:lvl>
    <w:lvl w:ilvl="3" w:tplc="EEB415B0" w:tentative="1">
      <w:start w:val="1"/>
      <w:numFmt w:val="bullet"/>
      <w:lvlText w:val="o"/>
      <w:lvlJc w:val="left"/>
      <w:pPr>
        <w:tabs>
          <w:tab w:val="num" w:pos="2880"/>
        </w:tabs>
        <w:ind w:left="2880" w:hanging="360"/>
      </w:pPr>
      <w:rPr>
        <w:rFonts w:ascii="Courier New" w:hAnsi="Courier New" w:hint="default"/>
      </w:rPr>
    </w:lvl>
    <w:lvl w:ilvl="4" w:tplc="7908C652" w:tentative="1">
      <w:start w:val="1"/>
      <w:numFmt w:val="bullet"/>
      <w:lvlText w:val="o"/>
      <w:lvlJc w:val="left"/>
      <w:pPr>
        <w:tabs>
          <w:tab w:val="num" w:pos="3600"/>
        </w:tabs>
        <w:ind w:left="3600" w:hanging="360"/>
      </w:pPr>
      <w:rPr>
        <w:rFonts w:ascii="Courier New" w:hAnsi="Courier New" w:hint="default"/>
      </w:rPr>
    </w:lvl>
    <w:lvl w:ilvl="5" w:tplc="E38C3602" w:tentative="1">
      <w:start w:val="1"/>
      <w:numFmt w:val="bullet"/>
      <w:lvlText w:val="o"/>
      <w:lvlJc w:val="left"/>
      <w:pPr>
        <w:tabs>
          <w:tab w:val="num" w:pos="4320"/>
        </w:tabs>
        <w:ind w:left="4320" w:hanging="360"/>
      </w:pPr>
      <w:rPr>
        <w:rFonts w:ascii="Courier New" w:hAnsi="Courier New" w:hint="default"/>
      </w:rPr>
    </w:lvl>
    <w:lvl w:ilvl="6" w:tplc="41A84940" w:tentative="1">
      <w:start w:val="1"/>
      <w:numFmt w:val="bullet"/>
      <w:lvlText w:val="o"/>
      <w:lvlJc w:val="left"/>
      <w:pPr>
        <w:tabs>
          <w:tab w:val="num" w:pos="5040"/>
        </w:tabs>
        <w:ind w:left="5040" w:hanging="360"/>
      </w:pPr>
      <w:rPr>
        <w:rFonts w:ascii="Courier New" w:hAnsi="Courier New" w:hint="default"/>
      </w:rPr>
    </w:lvl>
    <w:lvl w:ilvl="7" w:tplc="6C1AA980" w:tentative="1">
      <w:start w:val="1"/>
      <w:numFmt w:val="bullet"/>
      <w:lvlText w:val="o"/>
      <w:lvlJc w:val="left"/>
      <w:pPr>
        <w:tabs>
          <w:tab w:val="num" w:pos="5760"/>
        </w:tabs>
        <w:ind w:left="5760" w:hanging="360"/>
      </w:pPr>
      <w:rPr>
        <w:rFonts w:ascii="Courier New" w:hAnsi="Courier New" w:hint="default"/>
      </w:rPr>
    </w:lvl>
    <w:lvl w:ilvl="8" w:tplc="47502226"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7"/>
  </w:num>
  <w:num w:numId="3">
    <w:abstractNumId w:val="5"/>
  </w:num>
  <w:num w:numId="4">
    <w:abstractNumId w:val="18"/>
  </w:num>
  <w:num w:numId="5">
    <w:abstractNumId w:val="10"/>
  </w:num>
  <w:num w:numId="6">
    <w:abstractNumId w:val="12"/>
  </w:num>
  <w:num w:numId="7">
    <w:abstractNumId w:val="3"/>
  </w:num>
  <w:num w:numId="8">
    <w:abstractNumId w:val="2"/>
  </w:num>
  <w:num w:numId="9">
    <w:abstractNumId w:val="20"/>
  </w:num>
  <w:num w:numId="10">
    <w:abstractNumId w:val="17"/>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16"/>
  </w:num>
  <w:num w:numId="18">
    <w:abstractNumId w:val="13"/>
  </w:num>
  <w:num w:numId="19">
    <w:abstractNumId w:val="19"/>
  </w:num>
  <w:num w:numId="20">
    <w:abstractNumId w:val="9"/>
  </w:num>
  <w:num w:numId="21">
    <w:abstractNumId w:val="0"/>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17F67"/>
    <w:rsid w:val="00027B3E"/>
    <w:rsid w:val="000354AD"/>
    <w:rsid w:val="0003595B"/>
    <w:rsid w:val="00036517"/>
    <w:rsid w:val="00036CC9"/>
    <w:rsid w:val="00043111"/>
    <w:rsid w:val="00070642"/>
    <w:rsid w:val="000713CF"/>
    <w:rsid w:val="00075C14"/>
    <w:rsid w:val="000822B5"/>
    <w:rsid w:val="00094B87"/>
    <w:rsid w:val="000A012B"/>
    <w:rsid w:val="000A399F"/>
    <w:rsid w:val="000A5418"/>
    <w:rsid w:val="000E6AB0"/>
    <w:rsid w:val="000F345F"/>
    <w:rsid w:val="000F517C"/>
    <w:rsid w:val="000F5540"/>
    <w:rsid w:val="00105F1A"/>
    <w:rsid w:val="0011420F"/>
    <w:rsid w:val="00116ACC"/>
    <w:rsid w:val="00116B0B"/>
    <w:rsid w:val="00130AEE"/>
    <w:rsid w:val="001409B2"/>
    <w:rsid w:val="00152636"/>
    <w:rsid w:val="001539DD"/>
    <w:rsid w:val="00155020"/>
    <w:rsid w:val="00156782"/>
    <w:rsid w:val="001731F4"/>
    <w:rsid w:val="001738CB"/>
    <w:rsid w:val="00196568"/>
    <w:rsid w:val="00197C18"/>
    <w:rsid w:val="001A2F16"/>
    <w:rsid w:val="001B1804"/>
    <w:rsid w:val="001B18C2"/>
    <w:rsid w:val="001C3570"/>
    <w:rsid w:val="001C61A5"/>
    <w:rsid w:val="001C6707"/>
    <w:rsid w:val="001D5D7E"/>
    <w:rsid w:val="001E4D99"/>
    <w:rsid w:val="001F5947"/>
    <w:rsid w:val="00202410"/>
    <w:rsid w:val="00214A0C"/>
    <w:rsid w:val="0021588B"/>
    <w:rsid w:val="002216AC"/>
    <w:rsid w:val="002506D2"/>
    <w:rsid w:val="00250DE2"/>
    <w:rsid w:val="00254A1B"/>
    <w:rsid w:val="0026064A"/>
    <w:rsid w:val="0028454D"/>
    <w:rsid w:val="00291C9E"/>
    <w:rsid w:val="002926D4"/>
    <w:rsid w:val="002A4B9D"/>
    <w:rsid w:val="002B06A3"/>
    <w:rsid w:val="002B435C"/>
    <w:rsid w:val="002B447F"/>
    <w:rsid w:val="002C07DA"/>
    <w:rsid w:val="002C7EA9"/>
    <w:rsid w:val="002D7573"/>
    <w:rsid w:val="002F575D"/>
    <w:rsid w:val="003043B2"/>
    <w:rsid w:val="00307824"/>
    <w:rsid w:val="003113D7"/>
    <w:rsid w:val="00311E8A"/>
    <w:rsid w:val="00342F20"/>
    <w:rsid w:val="003478D5"/>
    <w:rsid w:val="00360377"/>
    <w:rsid w:val="00363266"/>
    <w:rsid w:val="00366548"/>
    <w:rsid w:val="003809C7"/>
    <w:rsid w:val="0038236C"/>
    <w:rsid w:val="00395B40"/>
    <w:rsid w:val="003A6568"/>
    <w:rsid w:val="003B6263"/>
    <w:rsid w:val="003B72C6"/>
    <w:rsid w:val="003C29E6"/>
    <w:rsid w:val="003C64A7"/>
    <w:rsid w:val="003D1671"/>
    <w:rsid w:val="003D3FDA"/>
    <w:rsid w:val="003D6D00"/>
    <w:rsid w:val="003E166F"/>
    <w:rsid w:val="004001E5"/>
    <w:rsid w:val="00401D49"/>
    <w:rsid w:val="00420822"/>
    <w:rsid w:val="00420C74"/>
    <w:rsid w:val="00443F1D"/>
    <w:rsid w:val="004465AA"/>
    <w:rsid w:val="00453BB1"/>
    <w:rsid w:val="0045458F"/>
    <w:rsid w:val="00463009"/>
    <w:rsid w:val="004633B4"/>
    <w:rsid w:val="00465268"/>
    <w:rsid w:val="00480293"/>
    <w:rsid w:val="004A2F96"/>
    <w:rsid w:val="004A5F8F"/>
    <w:rsid w:val="004B3553"/>
    <w:rsid w:val="004B3F4B"/>
    <w:rsid w:val="004E6121"/>
    <w:rsid w:val="004F41F4"/>
    <w:rsid w:val="005007A7"/>
    <w:rsid w:val="0050242F"/>
    <w:rsid w:val="00503189"/>
    <w:rsid w:val="00510723"/>
    <w:rsid w:val="00526D01"/>
    <w:rsid w:val="00530E8C"/>
    <w:rsid w:val="00545933"/>
    <w:rsid w:val="00552105"/>
    <w:rsid w:val="005562F2"/>
    <w:rsid w:val="00557544"/>
    <w:rsid w:val="00565BBB"/>
    <w:rsid w:val="00570E20"/>
    <w:rsid w:val="00585F3C"/>
    <w:rsid w:val="00586CA0"/>
    <w:rsid w:val="00587875"/>
    <w:rsid w:val="005A63EB"/>
    <w:rsid w:val="005C33B6"/>
    <w:rsid w:val="005D0D35"/>
    <w:rsid w:val="005D6202"/>
    <w:rsid w:val="005D6E98"/>
    <w:rsid w:val="005E1C89"/>
    <w:rsid w:val="005F0C18"/>
    <w:rsid w:val="00607E2B"/>
    <w:rsid w:val="006139D6"/>
    <w:rsid w:val="00616D1B"/>
    <w:rsid w:val="00623CE1"/>
    <w:rsid w:val="0063062B"/>
    <w:rsid w:val="00637351"/>
    <w:rsid w:val="00646166"/>
    <w:rsid w:val="00654896"/>
    <w:rsid w:val="006621F0"/>
    <w:rsid w:val="006647BA"/>
    <w:rsid w:val="00667229"/>
    <w:rsid w:val="006738E6"/>
    <w:rsid w:val="00682BE5"/>
    <w:rsid w:val="00690FED"/>
    <w:rsid w:val="006939A5"/>
    <w:rsid w:val="006B06AC"/>
    <w:rsid w:val="006C3B54"/>
    <w:rsid w:val="006D5223"/>
    <w:rsid w:val="006E12FC"/>
    <w:rsid w:val="006F2B2E"/>
    <w:rsid w:val="00705962"/>
    <w:rsid w:val="00707C21"/>
    <w:rsid w:val="00712451"/>
    <w:rsid w:val="00717DE9"/>
    <w:rsid w:val="0072518B"/>
    <w:rsid w:val="00731041"/>
    <w:rsid w:val="007329E4"/>
    <w:rsid w:val="00732F08"/>
    <w:rsid w:val="007342F0"/>
    <w:rsid w:val="0074190C"/>
    <w:rsid w:val="00762576"/>
    <w:rsid w:val="007673CA"/>
    <w:rsid w:val="00773B61"/>
    <w:rsid w:val="00791060"/>
    <w:rsid w:val="00794D65"/>
    <w:rsid w:val="007B5626"/>
    <w:rsid w:val="007B6124"/>
    <w:rsid w:val="007D3C53"/>
    <w:rsid w:val="007E22EA"/>
    <w:rsid w:val="007F2628"/>
    <w:rsid w:val="007F2FBA"/>
    <w:rsid w:val="00800C3A"/>
    <w:rsid w:val="008019F3"/>
    <w:rsid w:val="0080570B"/>
    <w:rsid w:val="008148E1"/>
    <w:rsid w:val="00823CF3"/>
    <w:rsid w:val="008319BF"/>
    <w:rsid w:val="008353FB"/>
    <w:rsid w:val="008433C2"/>
    <w:rsid w:val="00844457"/>
    <w:rsid w:val="008454C8"/>
    <w:rsid w:val="00847166"/>
    <w:rsid w:val="00851D78"/>
    <w:rsid w:val="00851EC0"/>
    <w:rsid w:val="00881326"/>
    <w:rsid w:val="008855FE"/>
    <w:rsid w:val="00897DF0"/>
    <w:rsid w:val="008A1A0D"/>
    <w:rsid w:val="008A76ED"/>
    <w:rsid w:val="008B3C72"/>
    <w:rsid w:val="008C2667"/>
    <w:rsid w:val="008C3C16"/>
    <w:rsid w:val="008D0E09"/>
    <w:rsid w:val="00903007"/>
    <w:rsid w:val="009157E8"/>
    <w:rsid w:val="00922B7D"/>
    <w:rsid w:val="00923816"/>
    <w:rsid w:val="0093074B"/>
    <w:rsid w:val="00930E64"/>
    <w:rsid w:val="00940CAA"/>
    <w:rsid w:val="0094419B"/>
    <w:rsid w:val="00950EC0"/>
    <w:rsid w:val="00956F8C"/>
    <w:rsid w:val="00961D57"/>
    <w:rsid w:val="00976716"/>
    <w:rsid w:val="0097693B"/>
    <w:rsid w:val="00993355"/>
    <w:rsid w:val="009963F7"/>
    <w:rsid w:val="009A4A6D"/>
    <w:rsid w:val="009B6F1E"/>
    <w:rsid w:val="009B7E42"/>
    <w:rsid w:val="009C3E7D"/>
    <w:rsid w:val="009E0504"/>
    <w:rsid w:val="009E13DD"/>
    <w:rsid w:val="00A0503B"/>
    <w:rsid w:val="00A13265"/>
    <w:rsid w:val="00A14900"/>
    <w:rsid w:val="00A2159F"/>
    <w:rsid w:val="00A221E2"/>
    <w:rsid w:val="00A529BC"/>
    <w:rsid w:val="00A5346C"/>
    <w:rsid w:val="00A562F0"/>
    <w:rsid w:val="00A564FB"/>
    <w:rsid w:val="00A614C1"/>
    <w:rsid w:val="00A61EA6"/>
    <w:rsid w:val="00A71136"/>
    <w:rsid w:val="00AA26A1"/>
    <w:rsid w:val="00AA474C"/>
    <w:rsid w:val="00AB43A8"/>
    <w:rsid w:val="00AB7406"/>
    <w:rsid w:val="00AC148B"/>
    <w:rsid w:val="00AC35EF"/>
    <w:rsid w:val="00AC6772"/>
    <w:rsid w:val="00AD2697"/>
    <w:rsid w:val="00AD75B5"/>
    <w:rsid w:val="00AD7E5F"/>
    <w:rsid w:val="00AE3066"/>
    <w:rsid w:val="00AE3242"/>
    <w:rsid w:val="00AF68E4"/>
    <w:rsid w:val="00B01AA1"/>
    <w:rsid w:val="00B1344F"/>
    <w:rsid w:val="00B30C81"/>
    <w:rsid w:val="00B4793B"/>
    <w:rsid w:val="00B54599"/>
    <w:rsid w:val="00B64A60"/>
    <w:rsid w:val="00B64AFD"/>
    <w:rsid w:val="00B70AA7"/>
    <w:rsid w:val="00B919CA"/>
    <w:rsid w:val="00B937D7"/>
    <w:rsid w:val="00B96B67"/>
    <w:rsid w:val="00BC57EF"/>
    <w:rsid w:val="00BE6D33"/>
    <w:rsid w:val="00BE7EE0"/>
    <w:rsid w:val="00BF25F9"/>
    <w:rsid w:val="00C113B6"/>
    <w:rsid w:val="00C13FD5"/>
    <w:rsid w:val="00C15633"/>
    <w:rsid w:val="00C15799"/>
    <w:rsid w:val="00C2511F"/>
    <w:rsid w:val="00C32E84"/>
    <w:rsid w:val="00C35415"/>
    <w:rsid w:val="00C357AD"/>
    <w:rsid w:val="00C36EB4"/>
    <w:rsid w:val="00C554CC"/>
    <w:rsid w:val="00C6069C"/>
    <w:rsid w:val="00C74745"/>
    <w:rsid w:val="00C85119"/>
    <w:rsid w:val="00CB012C"/>
    <w:rsid w:val="00CB7DD6"/>
    <w:rsid w:val="00CC23D4"/>
    <w:rsid w:val="00CD1F3D"/>
    <w:rsid w:val="00CD320B"/>
    <w:rsid w:val="00CD3F37"/>
    <w:rsid w:val="00CD5431"/>
    <w:rsid w:val="00CE46BE"/>
    <w:rsid w:val="00CE4B93"/>
    <w:rsid w:val="00CF2491"/>
    <w:rsid w:val="00CF3963"/>
    <w:rsid w:val="00D1252E"/>
    <w:rsid w:val="00D13D9D"/>
    <w:rsid w:val="00D13E64"/>
    <w:rsid w:val="00D459A2"/>
    <w:rsid w:val="00D530FF"/>
    <w:rsid w:val="00D53688"/>
    <w:rsid w:val="00D5407A"/>
    <w:rsid w:val="00D57772"/>
    <w:rsid w:val="00D72AE3"/>
    <w:rsid w:val="00D75A4D"/>
    <w:rsid w:val="00D8478B"/>
    <w:rsid w:val="00D853F1"/>
    <w:rsid w:val="00D86151"/>
    <w:rsid w:val="00D872A0"/>
    <w:rsid w:val="00D9172D"/>
    <w:rsid w:val="00DA7595"/>
    <w:rsid w:val="00DB0A68"/>
    <w:rsid w:val="00DC43A3"/>
    <w:rsid w:val="00DC4CF3"/>
    <w:rsid w:val="00DC5C01"/>
    <w:rsid w:val="00DD7C09"/>
    <w:rsid w:val="00DE45F4"/>
    <w:rsid w:val="00E0124F"/>
    <w:rsid w:val="00E674D3"/>
    <w:rsid w:val="00E70FD0"/>
    <w:rsid w:val="00E77C4B"/>
    <w:rsid w:val="00E829CB"/>
    <w:rsid w:val="00E9301F"/>
    <w:rsid w:val="00E9690A"/>
    <w:rsid w:val="00E97DC7"/>
    <w:rsid w:val="00EA1B47"/>
    <w:rsid w:val="00EB2046"/>
    <w:rsid w:val="00F000EF"/>
    <w:rsid w:val="00F2504E"/>
    <w:rsid w:val="00F2585B"/>
    <w:rsid w:val="00F4053F"/>
    <w:rsid w:val="00F516E7"/>
    <w:rsid w:val="00F57BF7"/>
    <w:rsid w:val="00F61E05"/>
    <w:rsid w:val="00F6263E"/>
    <w:rsid w:val="00F627C2"/>
    <w:rsid w:val="00F727BA"/>
    <w:rsid w:val="00F84067"/>
    <w:rsid w:val="00F85EF2"/>
    <w:rsid w:val="00FA0E13"/>
    <w:rsid w:val="00FA50B4"/>
    <w:rsid w:val="00FB3BAE"/>
    <w:rsid w:val="00FC156A"/>
    <w:rsid w:val="00FD2D5D"/>
    <w:rsid w:val="00FD6235"/>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0022">
      <w:bodyDiv w:val="1"/>
      <w:marLeft w:val="0"/>
      <w:marRight w:val="0"/>
      <w:marTop w:val="0"/>
      <w:marBottom w:val="0"/>
      <w:divBdr>
        <w:top w:val="none" w:sz="0" w:space="0" w:color="auto"/>
        <w:left w:val="none" w:sz="0" w:space="0" w:color="auto"/>
        <w:bottom w:val="none" w:sz="0" w:space="0" w:color="auto"/>
        <w:right w:val="none" w:sz="0" w:space="0" w:color="auto"/>
      </w:divBdr>
    </w:div>
    <w:div w:id="515047549">
      <w:bodyDiv w:val="1"/>
      <w:marLeft w:val="0"/>
      <w:marRight w:val="0"/>
      <w:marTop w:val="0"/>
      <w:marBottom w:val="0"/>
      <w:divBdr>
        <w:top w:val="none" w:sz="0" w:space="0" w:color="auto"/>
        <w:left w:val="none" w:sz="0" w:space="0" w:color="auto"/>
        <w:bottom w:val="none" w:sz="0" w:space="0" w:color="auto"/>
        <w:right w:val="none" w:sz="0" w:space="0" w:color="auto"/>
      </w:divBdr>
      <w:divsChild>
        <w:div w:id="830633628">
          <w:marLeft w:val="1008"/>
          <w:marRight w:val="0"/>
          <w:marTop w:val="96"/>
          <w:marBottom w:val="0"/>
          <w:divBdr>
            <w:top w:val="none" w:sz="0" w:space="0" w:color="auto"/>
            <w:left w:val="none" w:sz="0" w:space="0" w:color="auto"/>
            <w:bottom w:val="none" w:sz="0" w:space="0" w:color="auto"/>
            <w:right w:val="none" w:sz="0" w:space="0" w:color="auto"/>
          </w:divBdr>
        </w:div>
        <w:div w:id="2106146701">
          <w:marLeft w:val="1008"/>
          <w:marRight w:val="0"/>
          <w:marTop w:val="96"/>
          <w:marBottom w:val="0"/>
          <w:divBdr>
            <w:top w:val="none" w:sz="0" w:space="0" w:color="auto"/>
            <w:left w:val="none" w:sz="0" w:space="0" w:color="auto"/>
            <w:bottom w:val="none" w:sz="0" w:space="0" w:color="auto"/>
            <w:right w:val="none" w:sz="0" w:space="0" w:color="auto"/>
          </w:divBdr>
        </w:div>
      </w:divsChild>
    </w:div>
    <w:div w:id="544833318">
      <w:bodyDiv w:val="1"/>
      <w:marLeft w:val="0"/>
      <w:marRight w:val="0"/>
      <w:marTop w:val="0"/>
      <w:marBottom w:val="0"/>
      <w:divBdr>
        <w:top w:val="none" w:sz="0" w:space="0" w:color="auto"/>
        <w:left w:val="none" w:sz="0" w:space="0" w:color="auto"/>
        <w:bottom w:val="none" w:sz="0" w:space="0" w:color="auto"/>
        <w:right w:val="none" w:sz="0" w:space="0" w:color="auto"/>
      </w:divBdr>
    </w:div>
    <w:div w:id="615992363">
      <w:bodyDiv w:val="1"/>
      <w:marLeft w:val="0"/>
      <w:marRight w:val="0"/>
      <w:marTop w:val="0"/>
      <w:marBottom w:val="0"/>
      <w:divBdr>
        <w:top w:val="none" w:sz="0" w:space="0" w:color="auto"/>
        <w:left w:val="none" w:sz="0" w:space="0" w:color="auto"/>
        <w:bottom w:val="none" w:sz="0" w:space="0" w:color="auto"/>
        <w:right w:val="none" w:sz="0" w:space="0" w:color="auto"/>
      </w:divBdr>
    </w:div>
    <w:div w:id="677316075">
      <w:bodyDiv w:val="1"/>
      <w:marLeft w:val="0"/>
      <w:marRight w:val="0"/>
      <w:marTop w:val="0"/>
      <w:marBottom w:val="0"/>
      <w:divBdr>
        <w:top w:val="none" w:sz="0" w:space="0" w:color="auto"/>
        <w:left w:val="none" w:sz="0" w:space="0" w:color="auto"/>
        <w:bottom w:val="none" w:sz="0" w:space="0" w:color="auto"/>
        <w:right w:val="none" w:sz="0" w:space="0" w:color="auto"/>
      </w:divBdr>
    </w:div>
    <w:div w:id="795637063">
      <w:bodyDiv w:val="1"/>
      <w:marLeft w:val="0"/>
      <w:marRight w:val="0"/>
      <w:marTop w:val="0"/>
      <w:marBottom w:val="0"/>
      <w:divBdr>
        <w:top w:val="none" w:sz="0" w:space="0" w:color="auto"/>
        <w:left w:val="none" w:sz="0" w:space="0" w:color="auto"/>
        <w:bottom w:val="none" w:sz="0" w:space="0" w:color="auto"/>
        <w:right w:val="none" w:sz="0" w:space="0" w:color="auto"/>
      </w:divBdr>
    </w:div>
    <w:div w:id="1039553627">
      <w:bodyDiv w:val="1"/>
      <w:marLeft w:val="0"/>
      <w:marRight w:val="0"/>
      <w:marTop w:val="0"/>
      <w:marBottom w:val="0"/>
      <w:divBdr>
        <w:top w:val="none" w:sz="0" w:space="0" w:color="auto"/>
        <w:left w:val="none" w:sz="0" w:space="0" w:color="auto"/>
        <w:bottom w:val="none" w:sz="0" w:space="0" w:color="auto"/>
        <w:right w:val="none" w:sz="0" w:space="0" w:color="auto"/>
      </w:divBdr>
    </w:div>
    <w:div w:id="1140148823">
      <w:bodyDiv w:val="1"/>
      <w:marLeft w:val="0"/>
      <w:marRight w:val="0"/>
      <w:marTop w:val="0"/>
      <w:marBottom w:val="0"/>
      <w:divBdr>
        <w:top w:val="none" w:sz="0" w:space="0" w:color="auto"/>
        <w:left w:val="none" w:sz="0" w:space="0" w:color="auto"/>
        <w:bottom w:val="none" w:sz="0" w:space="0" w:color="auto"/>
        <w:right w:val="none" w:sz="0" w:space="0" w:color="auto"/>
      </w:divBdr>
    </w:div>
    <w:div w:id="1234314207">
      <w:bodyDiv w:val="1"/>
      <w:marLeft w:val="0"/>
      <w:marRight w:val="0"/>
      <w:marTop w:val="0"/>
      <w:marBottom w:val="0"/>
      <w:divBdr>
        <w:top w:val="none" w:sz="0" w:space="0" w:color="auto"/>
        <w:left w:val="none" w:sz="0" w:space="0" w:color="auto"/>
        <w:bottom w:val="none" w:sz="0" w:space="0" w:color="auto"/>
        <w:right w:val="none" w:sz="0" w:space="0" w:color="auto"/>
      </w:divBdr>
    </w:div>
    <w:div w:id="1243953761">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88EC-BC7D-4F39-B8A0-6CFF936F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2305</Words>
  <Characters>13144</Characters>
  <Application>Microsoft Office Word</Application>
  <DocSecurity>0</DocSecurity>
  <Lines>109</Lines>
  <Paragraphs>30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11</cp:revision>
  <cp:lastPrinted>2015-02-02T07:28:00Z</cp:lastPrinted>
  <dcterms:created xsi:type="dcterms:W3CDTF">2017-07-20T10:40:00Z</dcterms:created>
  <dcterms:modified xsi:type="dcterms:W3CDTF">2017-08-23T02:05:00Z</dcterms:modified>
</cp:coreProperties>
</file>