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rsidTr="007D7378">
        <w:trPr>
          <w:cantSplit/>
        </w:trPr>
        <w:tc>
          <w:tcPr>
            <w:tcW w:w="1399" w:type="dxa"/>
            <w:vMerge w:val="restart"/>
          </w:tcPr>
          <w:p w:rsidR="00CF3963" w:rsidRPr="00891D0B" w:rsidRDefault="00CF3963" w:rsidP="007D7378">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CF3963" w:rsidRPr="00891D0B" w:rsidRDefault="00CF3963" w:rsidP="007D7378">
            <w:r w:rsidRPr="00096326">
              <w:t>ASIA-PACIFIC TELECOMMUNITY</w:t>
            </w:r>
          </w:p>
        </w:tc>
        <w:tc>
          <w:tcPr>
            <w:tcW w:w="2700" w:type="dxa"/>
          </w:tcPr>
          <w:p w:rsidR="00CF3963" w:rsidRPr="00096326" w:rsidRDefault="00CF3963" w:rsidP="007D7378">
            <w:pPr>
              <w:rPr>
                <w:b/>
                <w:bCs/>
                <w:lang w:val="fr-FR"/>
              </w:rPr>
            </w:pPr>
            <w:r w:rsidRPr="00C15799">
              <w:rPr>
                <w:b/>
                <w:lang w:val="fr-FR"/>
              </w:rPr>
              <w:t>Document</w:t>
            </w:r>
            <w:r>
              <w:rPr>
                <w:b/>
                <w:lang w:val="fr-FR"/>
              </w:rPr>
              <w:t xml:space="preserve">: </w:t>
            </w:r>
          </w:p>
        </w:tc>
      </w:tr>
      <w:tr w:rsidR="00CF3963" w:rsidRPr="00C15799" w:rsidTr="007D7378">
        <w:trPr>
          <w:cantSplit/>
        </w:trPr>
        <w:tc>
          <w:tcPr>
            <w:tcW w:w="1399" w:type="dxa"/>
            <w:vMerge/>
          </w:tcPr>
          <w:p w:rsidR="00CF3963" w:rsidRPr="00891D0B" w:rsidRDefault="00CF3963" w:rsidP="007D7378"/>
        </w:tc>
        <w:tc>
          <w:tcPr>
            <w:tcW w:w="5720" w:type="dxa"/>
          </w:tcPr>
          <w:p w:rsidR="00CF3963" w:rsidRPr="00891D0B" w:rsidRDefault="00CF3963" w:rsidP="007D7378">
            <w:pPr>
              <w:spacing w:line="0" w:lineRule="atLeast"/>
            </w:pPr>
            <w:r>
              <w:rPr>
                <w:b/>
              </w:rPr>
              <w:t>The 2nd Meeting of the APT Conference Preparatory  Group for WRC-19 (APG19-2)</w:t>
            </w:r>
          </w:p>
        </w:tc>
        <w:tc>
          <w:tcPr>
            <w:tcW w:w="2700" w:type="dxa"/>
          </w:tcPr>
          <w:p w:rsidR="00CF3963" w:rsidRPr="00C15799" w:rsidRDefault="00E179DC" w:rsidP="007D7378">
            <w:pPr>
              <w:rPr>
                <w:b/>
                <w:bCs/>
                <w:lang w:val="fr-FR" w:eastAsia="ko-KR"/>
              </w:rPr>
            </w:pPr>
            <w:r>
              <w:rPr>
                <w:b/>
                <w:bCs/>
                <w:lang w:val="fr-FR"/>
              </w:rPr>
              <w:t>APG19-2/</w:t>
            </w:r>
            <w:r w:rsidR="006475C3">
              <w:rPr>
                <w:rFonts w:hint="eastAsia"/>
                <w:b/>
                <w:bCs/>
                <w:lang w:val="fr-FR" w:eastAsia="ko-KR"/>
              </w:rPr>
              <w:t>OUT-26</w:t>
            </w:r>
          </w:p>
        </w:tc>
      </w:tr>
      <w:tr w:rsidR="00CF3963" w:rsidRPr="00891D0B" w:rsidTr="007D7378">
        <w:trPr>
          <w:cantSplit/>
          <w:trHeight w:val="219"/>
        </w:trPr>
        <w:tc>
          <w:tcPr>
            <w:tcW w:w="1399" w:type="dxa"/>
            <w:vMerge/>
          </w:tcPr>
          <w:p w:rsidR="00CF3963" w:rsidRPr="00C15799" w:rsidRDefault="00CF3963" w:rsidP="007D7378">
            <w:pPr>
              <w:rPr>
                <w:lang w:val="fr-FR"/>
              </w:rPr>
            </w:pPr>
          </w:p>
        </w:tc>
        <w:tc>
          <w:tcPr>
            <w:tcW w:w="5720" w:type="dxa"/>
          </w:tcPr>
          <w:p w:rsidR="00CF3963" w:rsidRPr="00891D0B" w:rsidRDefault="00CF3963" w:rsidP="007D7378">
            <w:r>
              <w:t>17 – 21 July 2017</w:t>
            </w:r>
            <w:r w:rsidRPr="00891D0B">
              <w:t xml:space="preserve">, </w:t>
            </w:r>
            <w:r>
              <w:t>Bali, Republic of Indonesia</w:t>
            </w:r>
          </w:p>
        </w:tc>
        <w:tc>
          <w:tcPr>
            <w:tcW w:w="2700" w:type="dxa"/>
          </w:tcPr>
          <w:p w:rsidR="00CF3963" w:rsidRPr="00712451" w:rsidRDefault="007368CC" w:rsidP="007D7378">
            <w:pPr>
              <w:rPr>
                <w:b/>
              </w:rPr>
            </w:pPr>
            <w:r>
              <w:rPr>
                <w:b/>
              </w:rPr>
              <w:t>21</w:t>
            </w:r>
            <w:r w:rsidR="00CF3963">
              <w:rPr>
                <w:b/>
              </w:rPr>
              <w:t xml:space="preserve"> July 2017</w:t>
            </w:r>
          </w:p>
        </w:tc>
      </w:tr>
    </w:tbl>
    <w:p w:rsidR="00D13D9D" w:rsidRPr="007673CA" w:rsidRDefault="00D13D9D" w:rsidP="00DA7595">
      <w:pPr>
        <w:rPr>
          <w:lang w:val="en-NZ" w:eastAsia="ko-KR"/>
        </w:rPr>
      </w:pPr>
    </w:p>
    <w:p w:rsidR="00E179DC" w:rsidRDefault="00E179DC" w:rsidP="00B64A60">
      <w:pPr>
        <w:jc w:val="center"/>
        <w:rPr>
          <w:lang w:val="en-NZ" w:eastAsia="ko-KR"/>
        </w:rPr>
      </w:pPr>
    </w:p>
    <w:p w:rsidR="007368CC" w:rsidRPr="00CA4706" w:rsidRDefault="006475C3" w:rsidP="00CA4706">
      <w:pPr>
        <w:spacing w:after="120"/>
        <w:jc w:val="center"/>
        <w:rPr>
          <w:bCs/>
          <w:caps/>
        </w:rPr>
      </w:pPr>
      <w:r w:rsidRPr="00CA4706">
        <w:rPr>
          <w:bCs/>
        </w:rPr>
        <w:t>Working Party 2</w:t>
      </w:r>
    </w:p>
    <w:p w:rsidR="00B64A60" w:rsidRPr="00E179DC" w:rsidRDefault="00B64A60" w:rsidP="00CA4706">
      <w:pPr>
        <w:spacing w:after="120"/>
        <w:jc w:val="center"/>
        <w:rPr>
          <w:b/>
          <w:bCs/>
          <w:caps/>
          <w:lang w:val="en-NZ"/>
        </w:rPr>
      </w:pPr>
      <w:r w:rsidRPr="00E179DC">
        <w:rPr>
          <w:b/>
          <w:bCs/>
          <w:caps/>
          <w:lang w:val="en-NZ"/>
        </w:rPr>
        <w:t>PRELIMINARY VIEWs</w:t>
      </w:r>
      <w:r w:rsidR="00D12DA4" w:rsidRPr="00E179DC">
        <w:rPr>
          <w:b/>
          <w:bCs/>
          <w:caps/>
          <w:lang w:val="en-NZ"/>
        </w:rPr>
        <w:t xml:space="preserve"> on WRC-19 agenda item </w:t>
      </w:r>
      <w:r w:rsidR="00BD27C0" w:rsidRPr="00E179DC">
        <w:rPr>
          <w:b/>
          <w:bCs/>
          <w:caps/>
          <w:lang w:val="en-NZ"/>
        </w:rPr>
        <w:t>9.1</w:t>
      </w:r>
      <w:r w:rsidR="00CA4706">
        <w:rPr>
          <w:b/>
          <w:bCs/>
          <w:caps/>
          <w:lang w:val="en-NZ"/>
        </w:rPr>
        <w:t xml:space="preserve"> (</w:t>
      </w:r>
      <w:r w:rsidR="00BD27C0" w:rsidRPr="00E179DC">
        <w:rPr>
          <w:b/>
          <w:bCs/>
          <w:caps/>
          <w:lang w:val="en-NZ"/>
        </w:rPr>
        <w:t>ISSUE 9.1.</w:t>
      </w:r>
      <w:r w:rsidR="006066CF" w:rsidRPr="00E179DC">
        <w:rPr>
          <w:b/>
          <w:bCs/>
          <w:caps/>
          <w:lang w:val="en-NZ"/>
        </w:rPr>
        <w:t>5</w:t>
      </w:r>
      <w:r w:rsidR="00CA4706">
        <w:rPr>
          <w:b/>
          <w:bCs/>
          <w:caps/>
          <w:lang w:val="en-NZ"/>
        </w:rPr>
        <w:t>)</w:t>
      </w:r>
    </w:p>
    <w:p w:rsidR="00B64A60" w:rsidRDefault="00B64A60" w:rsidP="00B64A60">
      <w:pPr>
        <w:rPr>
          <w:lang w:val="en-NZ"/>
        </w:rPr>
      </w:pPr>
    </w:p>
    <w:p w:rsidR="00E179DC" w:rsidRDefault="00E179DC" w:rsidP="00B64A60">
      <w:pPr>
        <w:jc w:val="both"/>
        <w:rPr>
          <w:b/>
          <w:lang w:val="en-NZ"/>
        </w:rPr>
      </w:pPr>
    </w:p>
    <w:p w:rsidR="00B64A60" w:rsidRPr="00710333" w:rsidRDefault="00D12DA4" w:rsidP="00B64A60">
      <w:pPr>
        <w:jc w:val="both"/>
        <w:rPr>
          <w:lang w:val="en-NZ"/>
        </w:rPr>
      </w:pPr>
      <w:r>
        <w:rPr>
          <w:b/>
          <w:lang w:val="en-NZ"/>
        </w:rPr>
        <w:t xml:space="preserve">Agenda Item </w:t>
      </w:r>
      <w:r w:rsidR="00A22E61">
        <w:rPr>
          <w:b/>
          <w:lang w:val="en-NZ"/>
        </w:rPr>
        <w:t>9.1, Issue</w:t>
      </w:r>
      <w:r w:rsidR="00D271EF" w:rsidRPr="00D271EF">
        <w:rPr>
          <w:b/>
          <w:lang w:val="en-NZ"/>
        </w:rPr>
        <w:t xml:space="preserve"> 9.1.5</w:t>
      </w:r>
      <w:r w:rsidR="00B64A60" w:rsidRPr="00710333">
        <w:rPr>
          <w:b/>
          <w:lang w:val="en-NZ"/>
        </w:rPr>
        <w:t xml:space="preserve">: </w:t>
      </w:r>
    </w:p>
    <w:p w:rsidR="00B64A60" w:rsidRPr="00710333" w:rsidRDefault="00A22E61" w:rsidP="00B64A60">
      <w:pPr>
        <w:jc w:val="both"/>
        <w:rPr>
          <w:i/>
          <w:lang w:val="en-NZ"/>
        </w:rPr>
      </w:pPr>
      <w:r w:rsidRPr="00BD09FE">
        <w:rPr>
          <w:i/>
          <w:lang w:val="en-AU"/>
        </w:rPr>
        <w:t xml:space="preserve">Resolution </w:t>
      </w:r>
      <w:r w:rsidRPr="00BD3CB8">
        <w:rPr>
          <w:b/>
          <w:iCs/>
          <w:lang w:eastAsia="ko-KR"/>
        </w:rPr>
        <w:t>764 (WRC- 15)</w:t>
      </w:r>
      <w:r w:rsidRPr="00192B76">
        <w:rPr>
          <w:rFonts w:hint="eastAsia"/>
          <w:i/>
          <w:lang w:eastAsia="ko-KR"/>
        </w:rPr>
        <w:t xml:space="preserve"> - </w:t>
      </w:r>
      <w:r w:rsidRPr="00A22E61">
        <w:rPr>
          <w:rFonts w:eastAsia="SimSun"/>
          <w:bCs/>
          <w:i/>
          <w:iCs/>
          <w:lang w:eastAsia="zh-CN"/>
        </w:rPr>
        <w:t>Consideration of the technical and regulatory impacts of referencing Recommendations ITU-R M.1638-1 and ITU-R M.1849-1 in Nos. 5.447F and 5.450A of the Radio Regulations</w:t>
      </w:r>
      <w:r w:rsidR="0006275E">
        <w:rPr>
          <w:rFonts w:eastAsia="SimSun" w:hint="eastAsia"/>
          <w:bCs/>
          <w:i/>
          <w:iCs/>
          <w:lang w:eastAsia="zh-CN"/>
        </w:rPr>
        <w:t>.</w:t>
      </w:r>
    </w:p>
    <w:p w:rsidR="00B64A60" w:rsidRPr="00710333" w:rsidRDefault="00B64A60" w:rsidP="00B64A60">
      <w:pPr>
        <w:jc w:val="both"/>
        <w:rPr>
          <w:lang w:val="en-NZ"/>
        </w:rPr>
      </w:pPr>
    </w:p>
    <w:p w:rsidR="00B64A60" w:rsidRPr="00710333" w:rsidRDefault="00B64A60" w:rsidP="00B64A60">
      <w:pPr>
        <w:spacing w:after="120"/>
        <w:jc w:val="both"/>
        <w:rPr>
          <w:b/>
          <w:lang w:val="en-NZ" w:eastAsia="ko-KR"/>
        </w:rPr>
      </w:pPr>
      <w:r w:rsidRPr="00710333">
        <w:rPr>
          <w:b/>
          <w:lang w:val="en-NZ" w:eastAsia="ko-KR"/>
        </w:rPr>
        <w:t xml:space="preserve">1. </w:t>
      </w:r>
      <w:r>
        <w:rPr>
          <w:b/>
          <w:lang w:val="en-NZ" w:eastAsia="ko-KR"/>
        </w:rPr>
        <w:tab/>
      </w:r>
      <w:r w:rsidRPr="00710333">
        <w:rPr>
          <w:b/>
          <w:lang w:val="en-NZ" w:eastAsia="ko-KR"/>
        </w:rPr>
        <w:t>Background</w:t>
      </w:r>
    </w:p>
    <w:p w:rsidR="006066CF" w:rsidRDefault="006066CF" w:rsidP="006066CF">
      <w:pPr>
        <w:spacing w:after="120"/>
        <w:jc w:val="both"/>
        <w:rPr>
          <w:lang w:eastAsia="ko-KR"/>
        </w:rPr>
      </w:pPr>
      <w:r>
        <w:t xml:space="preserve">Resolution </w:t>
      </w:r>
      <w:r>
        <w:rPr>
          <w:b/>
          <w:lang w:eastAsia="ko-KR"/>
        </w:rPr>
        <w:t>764</w:t>
      </w:r>
      <w:r>
        <w:rPr>
          <w:b/>
          <w:bCs/>
        </w:rPr>
        <w:t xml:space="preserve"> (WRC</w:t>
      </w:r>
      <w:r>
        <w:rPr>
          <w:b/>
          <w:bCs/>
        </w:rPr>
        <w:noBreakHyphen/>
        <w:t>15)</w:t>
      </w:r>
      <w:r>
        <w:t xml:space="preserve"> </w:t>
      </w:r>
      <w:r>
        <w:rPr>
          <w:lang w:eastAsia="ko-KR"/>
        </w:rPr>
        <w:t>resolves to invite ITU-R:</w:t>
      </w:r>
    </w:p>
    <w:p w:rsidR="006066CF" w:rsidRDefault="006066CF" w:rsidP="006066CF">
      <w:pPr>
        <w:spacing w:after="120"/>
        <w:ind w:firstLine="720"/>
        <w:jc w:val="both"/>
        <w:rPr>
          <w:rFonts w:eastAsiaTheme="minorEastAsia"/>
          <w:lang w:eastAsia="ko-KR"/>
        </w:rPr>
      </w:pPr>
      <w:r>
        <w:rPr>
          <w:rFonts w:eastAsia="Calibri"/>
        </w:rPr>
        <w:t>1</w:t>
      </w:r>
      <w:r>
        <w:rPr>
          <w:rFonts w:eastAsia="Calibri"/>
        </w:rPr>
        <w:tab/>
        <w:t xml:space="preserve">to investigate the technical and regulatory impacts on the services referred to in Nos. </w:t>
      </w:r>
      <w:r>
        <w:rPr>
          <w:rFonts w:eastAsia="Calibri"/>
          <w:b/>
        </w:rPr>
        <w:t>5.447F</w:t>
      </w:r>
      <w:r>
        <w:rPr>
          <w:rFonts w:eastAsia="Calibri"/>
        </w:rPr>
        <w:t xml:space="preserve"> and </w:t>
      </w:r>
      <w:r>
        <w:rPr>
          <w:rFonts w:eastAsia="Calibri"/>
          <w:b/>
        </w:rPr>
        <w:t>5.450A</w:t>
      </w:r>
      <w:r>
        <w:rPr>
          <w:rFonts w:eastAsia="Calibri"/>
        </w:rPr>
        <w:t xml:space="preserve"> that would result from referencing Recommendation ITU R M.1638</w:t>
      </w:r>
      <w:r>
        <w:rPr>
          <w:rFonts w:eastAsiaTheme="minorEastAsia"/>
          <w:lang w:eastAsia="ko-KR"/>
        </w:rPr>
        <w:t>-</w:t>
      </w:r>
      <w:r>
        <w:rPr>
          <w:rFonts w:eastAsia="Calibri"/>
        </w:rPr>
        <w:t>1 in place of Recommendation ITU R M.1638</w:t>
      </w:r>
      <w:r>
        <w:rPr>
          <w:rFonts w:eastAsiaTheme="minorEastAsia"/>
          <w:lang w:eastAsia="ko-KR"/>
        </w:rPr>
        <w:t>-</w:t>
      </w:r>
      <w:r>
        <w:rPr>
          <w:rFonts w:eastAsia="Calibri"/>
        </w:rPr>
        <w:t>0 in those footnotes, while ensuring that no undue constraints are imposed on the services referenced in these footnotes;</w:t>
      </w:r>
    </w:p>
    <w:p w:rsidR="006066CF" w:rsidRDefault="006066CF" w:rsidP="006066CF">
      <w:pPr>
        <w:spacing w:after="120"/>
        <w:ind w:firstLine="720"/>
        <w:jc w:val="both"/>
        <w:rPr>
          <w:rFonts w:asciiTheme="minorEastAsia" w:eastAsiaTheme="minorEastAsia" w:hAnsiTheme="minorEastAsia"/>
          <w:lang w:eastAsia="zh-CN"/>
        </w:rPr>
      </w:pPr>
      <w:r>
        <w:rPr>
          <w:rFonts w:eastAsia="Calibri"/>
        </w:rPr>
        <w:t>2</w:t>
      </w:r>
      <w:r>
        <w:rPr>
          <w:rFonts w:eastAsia="Calibri"/>
        </w:rPr>
        <w:tab/>
        <w:t xml:space="preserve">to investigate the technical and regulatory impacts on the services referred to in Nos </w:t>
      </w:r>
      <w:r>
        <w:rPr>
          <w:rFonts w:eastAsia="Calibri"/>
          <w:b/>
        </w:rPr>
        <w:t>5.447F</w:t>
      </w:r>
      <w:r>
        <w:rPr>
          <w:rFonts w:eastAsia="Calibri"/>
        </w:rPr>
        <w:t xml:space="preserve"> and </w:t>
      </w:r>
      <w:r>
        <w:rPr>
          <w:rFonts w:eastAsia="Calibri"/>
          <w:b/>
        </w:rPr>
        <w:t>5.450A</w:t>
      </w:r>
      <w:r>
        <w:rPr>
          <w:rFonts w:eastAsia="Calibri"/>
        </w:rPr>
        <w:t xml:space="preserve"> that would result from adding a new reference to Recommendation ITU R M.1849</w:t>
      </w:r>
      <w:r>
        <w:rPr>
          <w:rFonts w:eastAsiaTheme="minorEastAsia"/>
          <w:lang w:eastAsia="ko-KR"/>
        </w:rPr>
        <w:t>-</w:t>
      </w:r>
      <w:r>
        <w:rPr>
          <w:rFonts w:eastAsia="Calibri"/>
        </w:rPr>
        <w:t>1 to these footnotes, while ensuring that no undue constraints are imposed on the services referenced in these footnotes</w:t>
      </w:r>
      <w:r w:rsidR="00FE3E02">
        <w:rPr>
          <w:rFonts w:asciiTheme="minorEastAsia" w:eastAsiaTheme="minorEastAsia" w:hAnsiTheme="minorEastAsia" w:hint="eastAsia"/>
          <w:lang w:eastAsia="zh-CN"/>
        </w:rPr>
        <w:t>.</w:t>
      </w:r>
    </w:p>
    <w:p w:rsidR="007E2762" w:rsidRDefault="007E2762" w:rsidP="007E2762">
      <w:pPr>
        <w:spacing w:after="120"/>
        <w:jc w:val="both"/>
        <w:rPr>
          <w:rFonts w:eastAsia="SimSun"/>
          <w:lang w:eastAsia="zh-CN"/>
        </w:rPr>
      </w:pPr>
      <w:r>
        <w:rPr>
          <w:rFonts w:eastAsia="SimSun" w:hint="eastAsia"/>
          <w:lang w:eastAsia="zh-CN"/>
        </w:rPr>
        <w:t>ITU-R Working Party 5A</w:t>
      </w:r>
      <w:r>
        <w:rPr>
          <w:rFonts w:eastAsia="SimSun"/>
          <w:lang w:eastAsia="zh-CN"/>
        </w:rPr>
        <w:t xml:space="preserve"> (WP5A) </w:t>
      </w:r>
      <w:r>
        <w:rPr>
          <w:rFonts w:eastAsia="SimSun" w:hint="eastAsia"/>
          <w:lang w:eastAsia="zh-CN"/>
        </w:rPr>
        <w:t>was d</w:t>
      </w:r>
      <w:r>
        <w:rPr>
          <w:rFonts w:eastAsia="SimSun"/>
          <w:lang w:eastAsia="zh-CN"/>
        </w:rPr>
        <w:t>esignated as the</w:t>
      </w:r>
      <w:r>
        <w:rPr>
          <w:rFonts w:eastAsia="SimSun" w:hint="eastAsia"/>
          <w:lang w:eastAsia="zh-CN"/>
        </w:rPr>
        <w:t xml:space="preserve"> r</w:t>
      </w:r>
      <w:r>
        <w:rPr>
          <w:rFonts w:eastAsia="SimSun"/>
          <w:lang w:eastAsia="zh-CN"/>
        </w:rPr>
        <w:t>esponsible group</w:t>
      </w:r>
      <w:r>
        <w:rPr>
          <w:rFonts w:eastAsia="SimSun" w:hint="eastAsia"/>
          <w:lang w:eastAsia="zh-CN"/>
        </w:rPr>
        <w:t xml:space="preserve"> for the Agenda Item </w:t>
      </w:r>
      <w:r w:rsidRPr="007E2762">
        <w:rPr>
          <w:rFonts w:eastAsia="SimSun"/>
          <w:lang w:eastAsia="zh-CN"/>
        </w:rPr>
        <w:t>9.1, Issue 9.1.5</w:t>
      </w:r>
      <w:r>
        <w:rPr>
          <w:rFonts w:eastAsia="SimSun"/>
          <w:lang w:eastAsia="zh-CN"/>
        </w:rPr>
        <w:t xml:space="preserve"> at CPM19-1</w:t>
      </w:r>
      <w:r>
        <w:rPr>
          <w:rFonts w:eastAsia="SimSun" w:hint="eastAsia"/>
          <w:lang w:eastAsia="zh-CN"/>
        </w:rPr>
        <w:t xml:space="preserve">. </w:t>
      </w:r>
      <w:r>
        <w:rPr>
          <w:rFonts w:eastAsia="SimSun"/>
          <w:lang w:eastAsia="zh-CN"/>
        </w:rPr>
        <w:t>T</w:t>
      </w:r>
      <w:r>
        <w:rPr>
          <w:rFonts w:eastAsia="SimSun" w:hint="eastAsia"/>
          <w:lang w:eastAsia="zh-CN"/>
        </w:rPr>
        <w:t xml:space="preserve">he latest </w:t>
      </w:r>
      <w:r>
        <w:rPr>
          <w:rFonts w:eastAsia="SimSun"/>
          <w:lang w:eastAsia="zh-CN"/>
        </w:rPr>
        <w:t xml:space="preserve">WP5A meeting </w:t>
      </w:r>
      <w:r>
        <w:rPr>
          <w:rFonts w:eastAsia="SimSun" w:hint="eastAsia"/>
          <w:lang w:eastAsia="zh-CN"/>
        </w:rPr>
        <w:t xml:space="preserve">was held </w:t>
      </w:r>
      <w:r>
        <w:rPr>
          <w:rFonts w:eastAsia="SimSun"/>
          <w:lang w:eastAsia="zh-CN"/>
        </w:rPr>
        <w:t xml:space="preserve">from </w:t>
      </w:r>
      <w:r>
        <w:rPr>
          <w:rFonts w:eastAsia="SimSun" w:hint="eastAsia"/>
          <w:lang w:eastAsia="zh-CN"/>
        </w:rPr>
        <w:t>22</w:t>
      </w:r>
      <w:r>
        <w:rPr>
          <w:rFonts w:eastAsia="SimSun"/>
          <w:lang w:eastAsia="zh-CN"/>
        </w:rPr>
        <w:t xml:space="preserve"> </w:t>
      </w:r>
      <w:r>
        <w:rPr>
          <w:rFonts w:eastAsia="SimSun" w:hint="eastAsia"/>
          <w:lang w:eastAsia="zh-CN"/>
        </w:rPr>
        <w:t>May</w:t>
      </w:r>
      <w:r>
        <w:rPr>
          <w:rFonts w:eastAsia="SimSun"/>
          <w:lang w:eastAsia="zh-CN"/>
        </w:rPr>
        <w:t xml:space="preserve"> </w:t>
      </w:r>
      <w:r>
        <w:rPr>
          <w:rFonts w:eastAsia="SimSun" w:hint="eastAsia"/>
          <w:lang w:eastAsia="zh-CN"/>
        </w:rPr>
        <w:t xml:space="preserve">to 1 June </w:t>
      </w:r>
      <w:r>
        <w:rPr>
          <w:rFonts w:eastAsia="SimSun"/>
          <w:lang w:eastAsia="zh-CN"/>
        </w:rPr>
        <w:t>201</w:t>
      </w:r>
      <w:r>
        <w:rPr>
          <w:rFonts w:eastAsia="SimSun" w:hint="eastAsia"/>
          <w:lang w:eastAsia="zh-CN"/>
        </w:rPr>
        <w:t>7</w:t>
      </w:r>
      <w:r>
        <w:rPr>
          <w:rFonts w:eastAsia="SimSun"/>
          <w:lang w:eastAsia="zh-CN"/>
        </w:rPr>
        <w:t xml:space="preserve"> in </w:t>
      </w:r>
      <w:r>
        <w:rPr>
          <w:rFonts w:eastAsia="SimSun" w:hint="eastAsia"/>
          <w:lang w:eastAsia="zh-CN"/>
        </w:rPr>
        <w:t>Geneva</w:t>
      </w:r>
      <w:r>
        <w:rPr>
          <w:rFonts w:eastAsia="SimSun"/>
          <w:lang w:eastAsia="zh-CN"/>
        </w:rPr>
        <w:t xml:space="preserve">, </w:t>
      </w:r>
      <w:r>
        <w:rPr>
          <w:rFonts w:eastAsia="SimSun" w:hint="eastAsia"/>
          <w:lang w:eastAsia="zh-CN"/>
        </w:rPr>
        <w:t>Switzerland</w:t>
      </w:r>
      <w:r>
        <w:rPr>
          <w:rFonts w:eastAsia="SimSun"/>
          <w:lang w:eastAsia="zh-CN"/>
        </w:rPr>
        <w:t>.</w:t>
      </w:r>
      <w:r>
        <w:rPr>
          <w:rFonts w:eastAsia="SimSun" w:hint="eastAsia"/>
          <w:lang w:eastAsia="zh-CN"/>
        </w:rPr>
        <w:t xml:space="preserve"> </w:t>
      </w:r>
    </w:p>
    <w:p w:rsidR="00FE3E02" w:rsidRDefault="007E2762" w:rsidP="007E2762">
      <w:pPr>
        <w:spacing w:after="120"/>
        <w:jc w:val="both"/>
      </w:pPr>
      <w:r w:rsidRPr="00FE17A6">
        <w:rPr>
          <w:rFonts w:eastAsia="SimSun" w:hint="eastAsia"/>
          <w:lang w:eastAsia="zh-CN"/>
        </w:rPr>
        <w:t xml:space="preserve">In the </w:t>
      </w:r>
      <w:r w:rsidRPr="00FE17A6">
        <w:rPr>
          <w:rFonts w:eastAsia="SimSun"/>
          <w:lang w:eastAsia="zh-CN"/>
        </w:rPr>
        <w:t xml:space="preserve">draft </w:t>
      </w:r>
      <w:r w:rsidRPr="00FE17A6">
        <w:rPr>
          <w:rFonts w:eastAsia="SimSun" w:hint="eastAsia"/>
          <w:lang w:eastAsia="zh-CN"/>
        </w:rPr>
        <w:t>CPM text,</w:t>
      </w:r>
      <w:r>
        <w:rPr>
          <w:rFonts w:eastAsia="SimSun"/>
          <w:lang w:eastAsia="zh-CN"/>
        </w:rPr>
        <w:t xml:space="preserve"> o</w:t>
      </w:r>
      <w:r w:rsidR="00FE3E02">
        <w:t>ne study showed that:</w:t>
      </w:r>
    </w:p>
    <w:p w:rsidR="00FE3E02" w:rsidRDefault="00FE3E02" w:rsidP="007E2762">
      <w:pPr>
        <w:pStyle w:val="ListParagraph"/>
        <w:numPr>
          <w:ilvl w:val="0"/>
          <w:numId w:val="25"/>
        </w:numPr>
        <w:spacing w:after="120"/>
        <w:jc w:val="both"/>
      </w:pPr>
      <w:r>
        <w:t xml:space="preserve">reference to Recommendation ITU-R М.1638-0 should be kept in RR No. </w:t>
      </w:r>
      <w:r w:rsidRPr="007E2762">
        <w:rPr>
          <w:b/>
        </w:rPr>
        <w:t>5.447F</w:t>
      </w:r>
      <w:r>
        <w:t xml:space="preserve"> since incorporation of references to updated Recommendations ITU-R М.1638-1 and ITU-R М.1849-1 in this footnote will lead to significant changes of the conditions under which the frequency band 5 250-5 350 MHz is allocated; </w:t>
      </w:r>
    </w:p>
    <w:p w:rsidR="00FE3E02" w:rsidRDefault="00FE3E02" w:rsidP="007E2762">
      <w:pPr>
        <w:pStyle w:val="ListParagraph"/>
        <w:numPr>
          <w:ilvl w:val="0"/>
          <w:numId w:val="25"/>
        </w:numPr>
        <w:spacing w:after="120"/>
        <w:jc w:val="both"/>
      </w:pPr>
      <w:proofErr w:type="gramStart"/>
      <w:r>
        <w:t>with</w:t>
      </w:r>
      <w:proofErr w:type="gramEnd"/>
      <w:r>
        <w:t xml:space="preserve"> respect to RR No. </w:t>
      </w:r>
      <w:r w:rsidRPr="007E2762">
        <w:rPr>
          <w:b/>
        </w:rPr>
        <w:t>5.450A</w:t>
      </w:r>
      <w:r>
        <w:t xml:space="preserve"> two options can be considered: to keep the reference to Recommendation ITU-R М.1638-0 or to add the reference to Recommendation ITU-R M.1849-1. Both options do not change the conditions under which the frequency band 5 470-5 725 MHz is allocated to the mobile service. </w:t>
      </w:r>
    </w:p>
    <w:p w:rsidR="00FE3E02" w:rsidRDefault="00FE3E02" w:rsidP="007E2762">
      <w:pPr>
        <w:spacing w:after="120"/>
        <w:jc w:val="both"/>
      </w:pPr>
      <w:r>
        <w:t>Another study showed that the incorporation by reference of Recommendation ITU</w:t>
      </w:r>
      <w:r>
        <w:noBreakHyphen/>
        <w:t>R M.1638-0 should not be</w:t>
      </w:r>
      <w:r w:rsidR="007E2762">
        <w:t xml:space="preserve"> updated in RR No</w:t>
      </w:r>
      <w:r>
        <w:t xml:space="preserve">. </w:t>
      </w:r>
      <w:r>
        <w:rPr>
          <w:b/>
        </w:rPr>
        <w:t>5.447F</w:t>
      </w:r>
      <w:r>
        <w:t xml:space="preserve"> and </w:t>
      </w:r>
      <w:r>
        <w:rPr>
          <w:b/>
        </w:rPr>
        <w:t>5.450A</w:t>
      </w:r>
      <w:r>
        <w:t xml:space="preserve"> until the studies are completed. </w:t>
      </w:r>
    </w:p>
    <w:p w:rsidR="00FE3E02" w:rsidRDefault="00FE3E02" w:rsidP="007E2762">
      <w:pPr>
        <w:spacing w:after="120"/>
        <w:jc w:val="both"/>
      </w:pPr>
      <w:r>
        <w:t xml:space="preserve">A further study showed that </w:t>
      </w:r>
      <w:r w:rsidRPr="007E2762">
        <w:rPr>
          <w:rFonts w:eastAsiaTheme="minorEastAsia"/>
          <w:color w:val="000000" w:themeColor="text1"/>
          <w:lang w:eastAsia="zh-CN"/>
        </w:rPr>
        <w:t>Recommendation</w:t>
      </w:r>
      <w:r>
        <w:t xml:space="preserve"> ITU-R M.1849-1 can be referenced in RR No. </w:t>
      </w:r>
      <w:r>
        <w:rPr>
          <w:b/>
        </w:rPr>
        <w:t>5.450A</w:t>
      </w:r>
      <w:r>
        <w:t xml:space="preserve"> without changes to the conditions under which the frequency band 5 470</w:t>
      </w:r>
      <w:r>
        <w:noBreakHyphen/>
        <w:t xml:space="preserve">5 725 MHz is allocated to the incumbent radio services. </w:t>
      </w:r>
    </w:p>
    <w:p w:rsidR="00205D4E" w:rsidRPr="002218A5" w:rsidRDefault="00205D4E" w:rsidP="00205D4E">
      <w:pPr>
        <w:snapToGrid w:val="0"/>
        <w:spacing w:beforeLines="50" w:before="120" w:afterLines="50" w:after="120"/>
        <w:jc w:val="both"/>
        <w:rPr>
          <w:rFonts w:eastAsiaTheme="minorEastAsia"/>
          <w:lang w:eastAsia="zh-CN"/>
        </w:rPr>
      </w:pPr>
      <w:r w:rsidRPr="002218A5">
        <w:rPr>
          <w:rFonts w:eastAsiaTheme="minorEastAsia" w:hint="eastAsia"/>
          <w:lang w:eastAsia="zh-CN"/>
        </w:rPr>
        <w:t>R</w:t>
      </w:r>
      <w:r w:rsidRPr="002218A5">
        <w:rPr>
          <w:rFonts w:eastAsiaTheme="minorEastAsia"/>
          <w:lang w:eastAsia="zh-CN"/>
        </w:rPr>
        <w:t>elevant</w:t>
      </w:r>
      <w:r w:rsidRPr="002218A5">
        <w:rPr>
          <w:rFonts w:eastAsiaTheme="minorEastAsia" w:hint="eastAsia"/>
          <w:lang w:eastAsia="zh-CN"/>
        </w:rPr>
        <w:t xml:space="preserve"> ITU-R and APT</w:t>
      </w:r>
      <w:r w:rsidRPr="002218A5">
        <w:rPr>
          <w:rFonts w:eastAsiaTheme="minorEastAsia"/>
          <w:lang w:eastAsia="zh-CN"/>
        </w:rPr>
        <w:t xml:space="preserve"> Reports/Recommendations </w:t>
      </w:r>
      <w:r w:rsidRPr="002218A5">
        <w:rPr>
          <w:rFonts w:eastAsiaTheme="minorEastAsia" w:hint="eastAsia"/>
          <w:lang w:eastAsia="zh-CN"/>
        </w:rPr>
        <w:t xml:space="preserve">and </w:t>
      </w:r>
      <w:r>
        <w:rPr>
          <w:rFonts w:eastAsiaTheme="minorEastAsia"/>
          <w:lang w:eastAsia="zh-CN"/>
        </w:rPr>
        <w:t>ongoing</w:t>
      </w:r>
      <w:r>
        <w:rPr>
          <w:rFonts w:eastAsiaTheme="minorEastAsia" w:hint="eastAsia"/>
          <w:lang w:eastAsia="zh-CN"/>
        </w:rPr>
        <w:t xml:space="preserve"> studi</w:t>
      </w:r>
      <w:r>
        <w:rPr>
          <w:rFonts w:eastAsiaTheme="minorEastAsia"/>
          <w:lang w:eastAsia="zh-CN"/>
        </w:rPr>
        <w:t>e</w:t>
      </w:r>
      <w:r>
        <w:rPr>
          <w:rFonts w:eastAsiaTheme="minorEastAsia" w:hint="eastAsia"/>
          <w:lang w:eastAsia="zh-CN"/>
        </w:rPr>
        <w:t>s</w:t>
      </w:r>
      <w:r w:rsidRPr="002218A5">
        <w:rPr>
          <w:rFonts w:eastAsiaTheme="minorEastAsia" w:hint="eastAsia"/>
          <w:lang w:eastAsia="zh-CN"/>
        </w:rPr>
        <w:t xml:space="preserve"> are as follows,</w:t>
      </w:r>
    </w:p>
    <w:p w:rsidR="00205D4E" w:rsidRDefault="00205D4E" w:rsidP="00205D4E">
      <w:pPr>
        <w:pStyle w:val="ListParagraph"/>
        <w:numPr>
          <w:ilvl w:val="0"/>
          <w:numId w:val="21"/>
        </w:numPr>
        <w:snapToGrid w:val="0"/>
        <w:spacing w:before="120" w:after="120"/>
        <w:jc w:val="both"/>
        <w:rPr>
          <w:lang w:val="en-GB"/>
        </w:rPr>
      </w:pPr>
      <w:r>
        <w:rPr>
          <w:lang w:val="en-GB"/>
        </w:rPr>
        <w:lastRenderedPageBreak/>
        <w:t>Recommendation ITU-R M.1638-0</w:t>
      </w:r>
      <w:r w:rsidRPr="00E756B7">
        <w:rPr>
          <w:lang w:val="en-GB"/>
        </w:rPr>
        <w:t xml:space="preserve"> - </w:t>
      </w:r>
      <w:r w:rsidRPr="00205D4E">
        <w:rPr>
          <w:lang w:val="en-GB"/>
        </w:rPr>
        <w:t xml:space="preserve">Characteristics of and protection criteria for sharing studies for radiolocation, aeronautical </w:t>
      </w:r>
      <w:proofErr w:type="spellStart"/>
      <w:r w:rsidRPr="00205D4E">
        <w:rPr>
          <w:lang w:val="en-GB"/>
        </w:rPr>
        <w:t>radionavigation</w:t>
      </w:r>
      <w:proofErr w:type="spellEnd"/>
      <w:r w:rsidRPr="00205D4E">
        <w:rPr>
          <w:lang w:val="en-GB"/>
        </w:rPr>
        <w:t xml:space="preserve"> and meteorological radars operating in the frequency bands between 5 250 and 5 850 MHz</w:t>
      </w:r>
    </w:p>
    <w:p w:rsidR="00205D4E" w:rsidRPr="00E756B7" w:rsidRDefault="00205D4E" w:rsidP="00205D4E">
      <w:pPr>
        <w:pStyle w:val="ListParagraph"/>
        <w:numPr>
          <w:ilvl w:val="0"/>
          <w:numId w:val="21"/>
        </w:numPr>
        <w:snapToGrid w:val="0"/>
        <w:spacing w:before="120" w:after="120"/>
        <w:jc w:val="both"/>
        <w:rPr>
          <w:lang w:val="en-GB"/>
        </w:rPr>
      </w:pPr>
      <w:r>
        <w:rPr>
          <w:lang w:val="en-GB"/>
        </w:rPr>
        <w:t>Recommendation ITU-R M.1638-1</w:t>
      </w:r>
      <w:r w:rsidRPr="00E756B7">
        <w:rPr>
          <w:lang w:val="en-GB"/>
        </w:rPr>
        <w:t xml:space="preserve"> - </w:t>
      </w:r>
      <w:r w:rsidRPr="00205D4E">
        <w:rPr>
          <w:lang w:val="en-GB"/>
        </w:rPr>
        <w:t xml:space="preserve">Characteristics of and protection criteria for sharing studies for radiolocation (except ground based meteorological radars) and aeronautical </w:t>
      </w:r>
      <w:proofErr w:type="spellStart"/>
      <w:r w:rsidRPr="00205D4E">
        <w:rPr>
          <w:lang w:val="en-GB"/>
        </w:rPr>
        <w:t>radionavigation</w:t>
      </w:r>
      <w:proofErr w:type="spellEnd"/>
      <w:r w:rsidRPr="00205D4E">
        <w:rPr>
          <w:lang w:val="en-GB"/>
        </w:rPr>
        <w:t xml:space="preserve"> radars operating in the frequency bands between 5 250 and 5 850 MHz</w:t>
      </w:r>
    </w:p>
    <w:p w:rsidR="00205D4E" w:rsidRPr="00E756B7" w:rsidRDefault="00205D4E" w:rsidP="00205D4E">
      <w:pPr>
        <w:pStyle w:val="ListParagraph"/>
        <w:numPr>
          <w:ilvl w:val="0"/>
          <w:numId w:val="21"/>
        </w:numPr>
        <w:snapToGrid w:val="0"/>
        <w:spacing w:before="120" w:after="120"/>
        <w:jc w:val="both"/>
        <w:rPr>
          <w:lang w:val="en-GB"/>
        </w:rPr>
      </w:pPr>
      <w:r>
        <w:rPr>
          <w:lang w:val="en-GB"/>
        </w:rPr>
        <w:t>Recommendation ITU-R M.1849-1</w:t>
      </w:r>
      <w:r w:rsidRPr="00E756B7">
        <w:rPr>
          <w:lang w:val="en-GB"/>
        </w:rPr>
        <w:t xml:space="preserve"> - </w:t>
      </w:r>
      <w:r w:rsidRPr="00205D4E">
        <w:rPr>
          <w:lang w:val="en-GB"/>
        </w:rPr>
        <w:t>Technical and operational aspects of ground-based meteorological radars</w:t>
      </w:r>
    </w:p>
    <w:p w:rsidR="00B64A60" w:rsidRPr="00710333" w:rsidRDefault="00B64A60" w:rsidP="006066CF">
      <w:pPr>
        <w:spacing w:after="120"/>
        <w:jc w:val="both"/>
        <w:rPr>
          <w:b/>
          <w:lang w:val="en-NZ" w:eastAsia="ko-KR"/>
        </w:rPr>
      </w:pPr>
      <w:r w:rsidRPr="00710333">
        <w:rPr>
          <w:b/>
          <w:lang w:val="en-NZ" w:eastAsia="ko-KR"/>
        </w:rPr>
        <w:t xml:space="preserve">2. </w:t>
      </w:r>
      <w:r>
        <w:rPr>
          <w:b/>
          <w:lang w:val="en-NZ" w:eastAsia="ko-KR"/>
        </w:rPr>
        <w:tab/>
      </w:r>
      <w:r w:rsidRPr="00710333">
        <w:rPr>
          <w:b/>
          <w:lang w:val="en-NZ" w:eastAsia="ko-KR"/>
        </w:rPr>
        <w:t>Documents</w:t>
      </w:r>
    </w:p>
    <w:p w:rsidR="000A2425" w:rsidRPr="00DB1CBC" w:rsidRDefault="000A2425" w:rsidP="000A2425">
      <w:pPr>
        <w:numPr>
          <w:ilvl w:val="2"/>
          <w:numId w:val="22"/>
        </w:numPr>
        <w:ind w:leftChars="145" w:left="748"/>
        <w:jc w:val="both"/>
        <w:rPr>
          <w:lang w:val="en-NZ"/>
        </w:rPr>
      </w:pPr>
      <w:r w:rsidRPr="002930E9">
        <w:rPr>
          <w:lang w:val="en-NZ"/>
        </w:rPr>
        <w:t>Input Documents</w:t>
      </w:r>
      <w:r w:rsidRPr="002930E9">
        <w:rPr>
          <w:rFonts w:eastAsiaTheme="minorEastAsia" w:hint="eastAsia"/>
          <w:lang w:val="en-NZ" w:eastAsia="zh-CN"/>
        </w:rPr>
        <w:t xml:space="preserve">: </w:t>
      </w:r>
    </w:p>
    <w:p w:rsidR="000A2425" w:rsidRPr="000959FF" w:rsidRDefault="000A2425" w:rsidP="000A2425">
      <w:pPr>
        <w:spacing w:beforeLines="50" w:before="120" w:afterLines="50" w:after="120"/>
        <w:ind w:leftChars="295" w:left="708"/>
        <w:jc w:val="both"/>
        <w:rPr>
          <w:rFonts w:eastAsia="SimSun"/>
          <w:iCs/>
          <w:lang w:eastAsia="zh-CN"/>
        </w:rPr>
      </w:pPr>
      <w:r w:rsidRPr="000959FF">
        <w:rPr>
          <w:rFonts w:eastAsia="SimSun"/>
          <w:iCs/>
          <w:lang w:eastAsia="zh-CN"/>
        </w:rPr>
        <w:t>APG19-2/INP-0</w:t>
      </w:r>
      <w:r>
        <w:rPr>
          <w:rFonts w:eastAsia="SimSun"/>
          <w:iCs/>
          <w:lang w:eastAsia="zh-CN"/>
        </w:rPr>
        <w:t>9</w:t>
      </w:r>
      <w:r w:rsidRPr="000959FF">
        <w:rPr>
          <w:rFonts w:eastAsia="SimSun" w:hint="eastAsia"/>
          <w:iCs/>
          <w:lang w:eastAsia="zh-CN"/>
        </w:rPr>
        <w:t>(</w:t>
      </w:r>
      <w:r w:rsidRPr="000959FF">
        <w:rPr>
          <w:rFonts w:eastAsia="SimSun"/>
          <w:iCs/>
          <w:lang w:eastAsia="zh-CN"/>
        </w:rPr>
        <w:t>KOR</w:t>
      </w:r>
      <w:r>
        <w:rPr>
          <w:rFonts w:eastAsia="SimSun" w:hint="eastAsia"/>
          <w:iCs/>
          <w:lang w:eastAsia="zh-CN"/>
        </w:rPr>
        <w:t>),</w:t>
      </w:r>
      <w:r w:rsidRPr="000959FF">
        <w:rPr>
          <w:rFonts w:eastAsia="SimSun" w:hint="eastAsia"/>
          <w:iCs/>
          <w:lang w:eastAsia="zh-CN"/>
        </w:rPr>
        <w:t xml:space="preserve"> </w:t>
      </w:r>
      <w:r w:rsidRPr="000959FF">
        <w:rPr>
          <w:rFonts w:eastAsia="SimSun"/>
          <w:iCs/>
          <w:lang w:eastAsia="zh-CN"/>
        </w:rPr>
        <w:t>APG19-2/INP-</w:t>
      </w:r>
      <w:r>
        <w:rPr>
          <w:rFonts w:eastAsia="SimSun"/>
          <w:iCs/>
          <w:lang w:eastAsia="zh-CN"/>
        </w:rPr>
        <w:t>21</w:t>
      </w:r>
      <w:r w:rsidRPr="000959FF">
        <w:rPr>
          <w:rFonts w:eastAsia="SimSun" w:hint="eastAsia"/>
          <w:iCs/>
          <w:lang w:eastAsia="zh-CN"/>
        </w:rPr>
        <w:t>(</w:t>
      </w:r>
      <w:r>
        <w:rPr>
          <w:rFonts w:eastAsia="SimSun"/>
          <w:iCs/>
          <w:lang w:eastAsia="zh-CN"/>
        </w:rPr>
        <w:t>NZL</w:t>
      </w:r>
      <w:r w:rsidRPr="000959FF">
        <w:rPr>
          <w:rFonts w:eastAsia="SimSun" w:hint="eastAsia"/>
          <w:iCs/>
          <w:lang w:eastAsia="zh-CN"/>
        </w:rPr>
        <w:t xml:space="preserve">), </w:t>
      </w:r>
      <w:r w:rsidRPr="000959FF">
        <w:rPr>
          <w:rFonts w:eastAsia="SimSun"/>
          <w:iCs/>
          <w:lang w:eastAsia="zh-CN"/>
        </w:rPr>
        <w:t>APG19-2/INP-2</w:t>
      </w:r>
      <w:r>
        <w:rPr>
          <w:rFonts w:eastAsia="SimSun"/>
          <w:iCs/>
          <w:lang w:eastAsia="zh-CN"/>
        </w:rPr>
        <w:t>9</w:t>
      </w:r>
      <w:r w:rsidRPr="000959FF">
        <w:rPr>
          <w:rFonts w:eastAsia="SimSun" w:hint="eastAsia"/>
          <w:iCs/>
          <w:lang w:eastAsia="zh-CN"/>
        </w:rPr>
        <w:t>(</w:t>
      </w:r>
      <w:r w:rsidRPr="000959FF">
        <w:rPr>
          <w:rFonts w:eastAsia="SimSun"/>
          <w:iCs/>
          <w:lang w:eastAsia="zh-CN"/>
        </w:rPr>
        <w:t>AUS</w:t>
      </w:r>
      <w:r w:rsidRPr="000959FF">
        <w:rPr>
          <w:rFonts w:eastAsia="SimSun" w:hint="eastAsia"/>
          <w:iCs/>
          <w:lang w:eastAsia="zh-CN"/>
        </w:rPr>
        <w:t xml:space="preserve">), </w:t>
      </w:r>
      <w:r w:rsidRPr="000959FF">
        <w:rPr>
          <w:rFonts w:eastAsia="SimSun"/>
          <w:iCs/>
          <w:lang w:eastAsia="zh-CN"/>
        </w:rPr>
        <w:t>APG19-2/INP-</w:t>
      </w:r>
      <w:r>
        <w:rPr>
          <w:rFonts w:eastAsia="SimSun"/>
          <w:iCs/>
          <w:lang w:eastAsia="zh-CN"/>
        </w:rPr>
        <w:t>40</w:t>
      </w:r>
      <w:r w:rsidRPr="000959FF">
        <w:rPr>
          <w:rFonts w:eastAsia="SimSun" w:hint="eastAsia"/>
          <w:iCs/>
          <w:lang w:eastAsia="zh-CN"/>
        </w:rPr>
        <w:t>(</w:t>
      </w:r>
      <w:r w:rsidRPr="000959FF">
        <w:rPr>
          <w:rFonts w:eastAsia="SimSun"/>
          <w:iCs/>
          <w:lang w:eastAsia="zh-CN"/>
        </w:rPr>
        <w:t>INS</w:t>
      </w:r>
      <w:r w:rsidRPr="000959FF">
        <w:rPr>
          <w:rFonts w:eastAsia="SimSun" w:hint="eastAsia"/>
          <w:iCs/>
          <w:lang w:eastAsia="zh-CN"/>
        </w:rPr>
        <w:t xml:space="preserve">), </w:t>
      </w:r>
      <w:r w:rsidRPr="000959FF">
        <w:rPr>
          <w:rFonts w:eastAsia="SimSun"/>
          <w:iCs/>
          <w:lang w:eastAsia="zh-CN"/>
        </w:rPr>
        <w:t>APG19-2/INP-5</w:t>
      </w:r>
      <w:r>
        <w:rPr>
          <w:rFonts w:eastAsia="SimSun"/>
          <w:iCs/>
          <w:lang w:eastAsia="zh-CN"/>
        </w:rPr>
        <w:t>6</w:t>
      </w:r>
      <w:r w:rsidRPr="000959FF">
        <w:rPr>
          <w:rFonts w:eastAsia="SimSun" w:hint="eastAsia"/>
          <w:iCs/>
          <w:lang w:eastAsia="zh-CN"/>
        </w:rPr>
        <w:t>(</w:t>
      </w:r>
      <w:r w:rsidRPr="000959FF">
        <w:rPr>
          <w:rFonts w:eastAsia="SimSun"/>
          <w:iCs/>
          <w:lang w:eastAsia="zh-CN"/>
        </w:rPr>
        <w:t>J</w:t>
      </w:r>
      <w:r w:rsidRPr="000959FF">
        <w:rPr>
          <w:rFonts w:eastAsia="SimSun" w:hint="eastAsia"/>
          <w:iCs/>
          <w:lang w:eastAsia="zh-CN"/>
        </w:rPr>
        <w:t>)</w:t>
      </w:r>
      <w:r w:rsidRPr="000959FF">
        <w:rPr>
          <w:rFonts w:eastAsia="SimSun"/>
          <w:iCs/>
          <w:lang w:eastAsia="zh-CN"/>
        </w:rPr>
        <w:t xml:space="preserve"> </w:t>
      </w:r>
    </w:p>
    <w:p w:rsidR="000A2425" w:rsidRPr="00DB1CBC" w:rsidRDefault="000A2425" w:rsidP="000A2425">
      <w:pPr>
        <w:numPr>
          <w:ilvl w:val="2"/>
          <w:numId w:val="22"/>
        </w:numPr>
        <w:ind w:leftChars="145" w:left="748"/>
        <w:jc w:val="both"/>
        <w:rPr>
          <w:lang w:val="en-NZ"/>
        </w:rPr>
      </w:pPr>
      <w:r>
        <w:rPr>
          <w:lang w:val="en-NZ"/>
        </w:rPr>
        <w:t>Information Documents</w:t>
      </w:r>
      <w:r w:rsidRPr="002930E9">
        <w:rPr>
          <w:rFonts w:eastAsiaTheme="minorEastAsia" w:hint="eastAsia"/>
          <w:lang w:val="en-NZ" w:eastAsia="zh-CN"/>
        </w:rPr>
        <w:t xml:space="preserve">: </w:t>
      </w:r>
    </w:p>
    <w:p w:rsidR="00B64A60" w:rsidRPr="000A2425" w:rsidRDefault="000A2425" w:rsidP="000A2425">
      <w:pPr>
        <w:spacing w:beforeLines="50" w:before="120" w:afterLines="50" w:after="120"/>
        <w:ind w:leftChars="295" w:left="708"/>
        <w:jc w:val="both"/>
        <w:rPr>
          <w:lang w:val="en-NZ"/>
        </w:rPr>
      </w:pPr>
      <w:r w:rsidRPr="000959FF">
        <w:rPr>
          <w:rFonts w:eastAsia="SimSun"/>
          <w:iCs/>
          <w:lang w:eastAsia="zh-CN"/>
        </w:rPr>
        <w:t>APG19-2/INF-01</w:t>
      </w:r>
      <w:r w:rsidRPr="000959FF">
        <w:rPr>
          <w:rFonts w:eastAsia="SimSun" w:hint="eastAsia"/>
          <w:iCs/>
          <w:lang w:eastAsia="zh-CN"/>
        </w:rPr>
        <w:t>(Chairman</w:t>
      </w:r>
      <w:r w:rsidRPr="000959FF">
        <w:rPr>
          <w:rFonts w:eastAsia="SimSun"/>
          <w:iCs/>
          <w:lang w:eastAsia="zh-CN"/>
        </w:rPr>
        <w:t>, APG</w:t>
      </w:r>
      <w:r w:rsidRPr="000959FF">
        <w:rPr>
          <w:rFonts w:eastAsia="SimSun" w:hint="eastAsia"/>
          <w:iCs/>
          <w:lang w:eastAsia="zh-CN"/>
        </w:rPr>
        <w:t xml:space="preserve">-19), </w:t>
      </w:r>
      <w:r w:rsidRPr="000959FF">
        <w:rPr>
          <w:rFonts w:eastAsia="SimSun"/>
          <w:iCs/>
          <w:lang w:eastAsia="zh-CN"/>
        </w:rPr>
        <w:t>APG19-2/INF-02</w:t>
      </w:r>
      <w:r w:rsidRPr="000959FF">
        <w:rPr>
          <w:rFonts w:eastAsia="SimSun" w:hint="eastAsia"/>
          <w:iCs/>
          <w:lang w:eastAsia="zh-CN"/>
        </w:rPr>
        <w:t>(</w:t>
      </w:r>
      <w:r w:rsidRPr="000959FF">
        <w:rPr>
          <w:rFonts w:eastAsia="SimSun"/>
          <w:iCs/>
          <w:lang w:eastAsia="zh-CN"/>
        </w:rPr>
        <w:t>ICAO</w:t>
      </w:r>
      <w:r w:rsidRPr="000959FF">
        <w:rPr>
          <w:rFonts w:eastAsia="SimSun" w:hint="eastAsia"/>
          <w:iCs/>
          <w:lang w:eastAsia="zh-CN"/>
        </w:rPr>
        <w:t xml:space="preserve">), </w:t>
      </w:r>
      <w:r w:rsidRPr="000959FF">
        <w:rPr>
          <w:rFonts w:eastAsia="SimSun"/>
          <w:iCs/>
          <w:lang w:eastAsia="zh-CN"/>
        </w:rPr>
        <w:t>APG19-2/INF-04</w:t>
      </w:r>
      <w:r w:rsidRPr="000959FF">
        <w:rPr>
          <w:rFonts w:eastAsia="SimSun" w:hint="eastAsia"/>
          <w:iCs/>
          <w:lang w:eastAsia="zh-CN"/>
        </w:rPr>
        <w:t>(</w:t>
      </w:r>
      <w:r w:rsidRPr="000959FF">
        <w:rPr>
          <w:rFonts w:eastAsia="SimSun"/>
          <w:iCs/>
          <w:lang w:eastAsia="zh-CN"/>
        </w:rPr>
        <w:t>CITEL</w:t>
      </w:r>
      <w:r w:rsidRPr="000959FF">
        <w:rPr>
          <w:rFonts w:eastAsia="SimSun" w:hint="eastAsia"/>
          <w:iCs/>
          <w:lang w:eastAsia="zh-CN"/>
        </w:rPr>
        <w:t xml:space="preserve">), </w:t>
      </w:r>
      <w:r w:rsidRPr="000959FF">
        <w:rPr>
          <w:rFonts w:eastAsia="SimSun"/>
          <w:iCs/>
          <w:lang w:eastAsia="zh-CN"/>
        </w:rPr>
        <w:t>APG19-2/INF-05</w:t>
      </w:r>
      <w:r w:rsidRPr="000959FF">
        <w:rPr>
          <w:rFonts w:eastAsia="SimSun" w:hint="eastAsia"/>
          <w:iCs/>
          <w:lang w:eastAsia="zh-CN"/>
        </w:rPr>
        <w:t>(</w:t>
      </w:r>
      <w:r w:rsidRPr="000959FF">
        <w:rPr>
          <w:rFonts w:eastAsia="SimSun"/>
          <w:iCs/>
          <w:lang w:eastAsia="zh-CN"/>
        </w:rPr>
        <w:t>RCC</w:t>
      </w:r>
      <w:r w:rsidRPr="000959FF">
        <w:rPr>
          <w:rFonts w:eastAsia="SimSun" w:hint="eastAsia"/>
          <w:iCs/>
          <w:lang w:eastAsia="zh-CN"/>
        </w:rPr>
        <w:t xml:space="preserve">), </w:t>
      </w:r>
      <w:r w:rsidRPr="000959FF">
        <w:rPr>
          <w:rFonts w:eastAsia="SimSun"/>
          <w:iCs/>
          <w:lang w:eastAsia="zh-CN"/>
        </w:rPr>
        <w:t>APG19-2/INF-06</w:t>
      </w:r>
      <w:r w:rsidRPr="000959FF">
        <w:rPr>
          <w:rFonts w:eastAsia="SimSun" w:hint="eastAsia"/>
          <w:iCs/>
          <w:lang w:eastAsia="zh-CN"/>
        </w:rPr>
        <w:t>(</w:t>
      </w:r>
      <w:r w:rsidRPr="000959FF">
        <w:rPr>
          <w:rFonts w:eastAsia="SimSun"/>
          <w:iCs/>
          <w:lang w:eastAsia="zh-CN"/>
        </w:rPr>
        <w:t>IARU</w:t>
      </w:r>
      <w:r w:rsidRPr="000959FF">
        <w:rPr>
          <w:rFonts w:eastAsia="SimSun" w:hint="eastAsia"/>
          <w:iCs/>
          <w:lang w:eastAsia="zh-CN"/>
        </w:rPr>
        <w:t xml:space="preserve">), </w:t>
      </w:r>
      <w:r w:rsidRPr="000959FF">
        <w:rPr>
          <w:rFonts w:eastAsia="SimSun"/>
          <w:iCs/>
          <w:lang w:eastAsia="zh-CN"/>
        </w:rPr>
        <w:t>APG19-2/INF-07</w:t>
      </w:r>
      <w:r w:rsidRPr="000959FF">
        <w:rPr>
          <w:rFonts w:eastAsia="SimSun" w:hint="eastAsia"/>
          <w:iCs/>
          <w:lang w:eastAsia="zh-CN"/>
        </w:rPr>
        <w:t xml:space="preserve"> (</w:t>
      </w:r>
      <w:r w:rsidRPr="000959FF">
        <w:rPr>
          <w:rFonts w:eastAsia="SimSun"/>
          <w:iCs/>
          <w:lang w:eastAsia="zh-CN"/>
        </w:rPr>
        <w:t>ATU</w:t>
      </w:r>
      <w:r w:rsidRPr="000959FF">
        <w:rPr>
          <w:rFonts w:eastAsia="SimSun" w:hint="eastAsia"/>
          <w:iCs/>
          <w:lang w:eastAsia="zh-CN"/>
        </w:rPr>
        <w:t xml:space="preserve">), </w:t>
      </w:r>
      <w:r w:rsidRPr="000959FF">
        <w:rPr>
          <w:rFonts w:eastAsia="SimSun"/>
          <w:iCs/>
          <w:lang w:eastAsia="zh-CN"/>
        </w:rPr>
        <w:t>APG19-2/INF-14</w:t>
      </w:r>
      <w:r w:rsidRPr="000959FF">
        <w:rPr>
          <w:rFonts w:eastAsia="SimSun" w:hint="eastAsia"/>
          <w:iCs/>
          <w:lang w:eastAsia="zh-CN"/>
        </w:rPr>
        <w:t xml:space="preserve"> (</w:t>
      </w:r>
      <w:r w:rsidRPr="000959FF">
        <w:rPr>
          <w:rFonts w:eastAsia="SimSun"/>
          <w:iCs/>
          <w:lang w:eastAsia="zh-CN"/>
        </w:rPr>
        <w:t>CEPT</w:t>
      </w:r>
      <w:r w:rsidRPr="000959FF">
        <w:rPr>
          <w:rFonts w:eastAsia="SimSun" w:hint="eastAsia"/>
          <w:iCs/>
          <w:lang w:eastAsia="zh-CN"/>
        </w:rPr>
        <w:t>)</w:t>
      </w:r>
    </w:p>
    <w:p w:rsidR="00B64A60" w:rsidRDefault="00B64A60" w:rsidP="00B64A60">
      <w:pPr>
        <w:spacing w:after="120"/>
        <w:jc w:val="both"/>
        <w:rPr>
          <w:b/>
          <w:lang w:val="en-NZ" w:eastAsia="ko-KR"/>
        </w:rPr>
      </w:pPr>
      <w:r>
        <w:rPr>
          <w:b/>
          <w:lang w:val="en-NZ" w:eastAsia="ko-KR"/>
        </w:rPr>
        <w:t xml:space="preserve">3. </w:t>
      </w:r>
      <w:r>
        <w:rPr>
          <w:b/>
          <w:lang w:val="en-NZ" w:eastAsia="ko-KR"/>
        </w:rPr>
        <w:tab/>
        <w:t>Summary of Discussions</w:t>
      </w:r>
    </w:p>
    <w:p w:rsidR="004A2F96" w:rsidRDefault="004A2F96" w:rsidP="00B64A60">
      <w:pPr>
        <w:spacing w:after="120"/>
        <w:jc w:val="both"/>
        <w:rPr>
          <w:b/>
          <w:lang w:val="en-NZ" w:eastAsia="ko-KR"/>
        </w:rPr>
      </w:pPr>
      <w:r>
        <w:rPr>
          <w:b/>
          <w:lang w:val="en-NZ" w:eastAsia="ko-KR"/>
        </w:rPr>
        <w:t>3.1</w:t>
      </w:r>
      <w:r>
        <w:rPr>
          <w:b/>
          <w:lang w:val="en-NZ" w:eastAsia="ko-KR"/>
        </w:rPr>
        <w:tab/>
        <w:t xml:space="preserve"> S</w:t>
      </w:r>
      <w:r>
        <w:rPr>
          <w:rFonts w:hint="eastAsia"/>
          <w:b/>
          <w:lang w:val="en-NZ" w:eastAsia="ko-KR"/>
        </w:rPr>
        <w:t xml:space="preserve">ummary </w:t>
      </w:r>
      <w:r>
        <w:rPr>
          <w:b/>
          <w:lang w:val="en-NZ" w:eastAsia="ko-KR"/>
        </w:rPr>
        <w:t>of Members’ view</w:t>
      </w:r>
    </w:p>
    <w:p w:rsidR="00E456F4" w:rsidRPr="000F6941" w:rsidRDefault="00E456F4" w:rsidP="00E456F4">
      <w:pPr>
        <w:spacing w:beforeLines="50" w:before="120" w:afterLines="50" w:after="120"/>
        <w:jc w:val="both"/>
        <w:rPr>
          <w:rFonts w:eastAsiaTheme="minorEastAsia"/>
          <w:b/>
          <w:lang w:val="en-NZ" w:eastAsia="zh-CN"/>
        </w:rPr>
      </w:pPr>
      <w:r>
        <w:rPr>
          <w:rFonts w:eastAsiaTheme="minorEastAsia" w:hint="eastAsia"/>
          <w:b/>
          <w:lang w:val="en-NZ" w:eastAsia="zh-CN"/>
        </w:rPr>
        <w:t>3.1.1</w:t>
      </w:r>
      <w:r w:rsidRPr="000F6941">
        <w:rPr>
          <w:rFonts w:eastAsiaTheme="minorEastAsia" w:hint="eastAsia"/>
          <w:b/>
          <w:lang w:val="en-NZ" w:eastAsia="zh-CN"/>
        </w:rPr>
        <w:t xml:space="preserve"> </w:t>
      </w:r>
      <w:r>
        <w:rPr>
          <w:rFonts w:eastAsiaTheme="minorEastAsia" w:hint="eastAsia"/>
          <w:b/>
          <w:lang w:val="en-NZ" w:eastAsia="zh-CN"/>
        </w:rPr>
        <w:t>Korea</w:t>
      </w:r>
    </w:p>
    <w:p w:rsidR="00E456F4" w:rsidRPr="00D52DAF" w:rsidRDefault="006066CF" w:rsidP="00E456F4">
      <w:pPr>
        <w:spacing w:beforeLines="50" w:before="120" w:afterLines="50" w:after="120"/>
        <w:ind w:leftChars="295" w:left="708"/>
        <w:jc w:val="both"/>
        <w:rPr>
          <w:rFonts w:eastAsia="SimSun"/>
          <w:iCs/>
          <w:lang w:eastAsia="zh-CN"/>
        </w:rPr>
      </w:pPr>
      <w:r w:rsidRPr="00BD3CB8">
        <w:rPr>
          <w:rFonts w:eastAsia="Malgun Gothic" w:hint="eastAsia"/>
          <w:bCs/>
          <w:snapToGrid w:val="0"/>
          <w:lang w:eastAsia="ko-KR"/>
        </w:rPr>
        <w:t xml:space="preserve">The Republic of Korea </w:t>
      </w:r>
      <w:r w:rsidRPr="00BD3CB8">
        <w:rPr>
          <w:rFonts w:hint="eastAsia"/>
          <w:lang w:eastAsia="ko-KR"/>
        </w:rPr>
        <w:t>supports the ITU-R studies on considering</w:t>
      </w:r>
      <w:r w:rsidRPr="00BD3CB8">
        <w:rPr>
          <w:rFonts w:eastAsia="Malgun Gothic" w:hint="eastAsia"/>
          <w:bCs/>
          <w:snapToGrid w:val="0"/>
          <w:lang w:eastAsia="ko-KR"/>
        </w:rPr>
        <w:t xml:space="preserve"> </w:t>
      </w:r>
      <w:r w:rsidRPr="00BD3CB8">
        <w:rPr>
          <w:lang w:eastAsia="ko-KR"/>
        </w:rPr>
        <w:t>protection of the existing services without undue constrains when incorporated by reference of the recent version of Recommendations.</w:t>
      </w:r>
    </w:p>
    <w:p w:rsidR="00E456F4" w:rsidRPr="00A100CB" w:rsidRDefault="00E456F4" w:rsidP="00E456F4">
      <w:pPr>
        <w:spacing w:beforeLines="50" w:before="120" w:afterLines="50" w:after="120"/>
        <w:jc w:val="both"/>
        <w:rPr>
          <w:rFonts w:eastAsiaTheme="minorEastAsia"/>
          <w:b/>
          <w:lang w:val="en-NZ" w:eastAsia="zh-CN"/>
        </w:rPr>
      </w:pPr>
      <w:r>
        <w:rPr>
          <w:rFonts w:eastAsiaTheme="minorEastAsia" w:hint="eastAsia"/>
          <w:b/>
          <w:lang w:val="en-NZ" w:eastAsia="zh-CN"/>
        </w:rPr>
        <w:t>3.1.2</w:t>
      </w:r>
      <w:r w:rsidRPr="00A100CB">
        <w:rPr>
          <w:rFonts w:eastAsiaTheme="minorEastAsia" w:hint="eastAsia"/>
          <w:b/>
          <w:lang w:val="en-NZ" w:eastAsia="zh-CN"/>
        </w:rPr>
        <w:t xml:space="preserve"> </w:t>
      </w:r>
      <w:r w:rsidRPr="00E456F4">
        <w:rPr>
          <w:rFonts w:eastAsiaTheme="minorEastAsia"/>
          <w:b/>
          <w:lang w:val="en-NZ" w:eastAsia="zh-CN"/>
        </w:rPr>
        <w:t>New Zealand</w:t>
      </w:r>
    </w:p>
    <w:p w:rsidR="00E456F4" w:rsidRDefault="006066CF" w:rsidP="00E456F4">
      <w:pPr>
        <w:spacing w:beforeLines="50" w:before="120" w:afterLines="50" w:after="120"/>
        <w:ind w:leftChars="295" w:left="708"/>
        <w:jc w:val="both"/>
        <w:rPr>
          <w:rFonts w:eastAsiaTheme="minorEastAsia"/>
          <w:iCs/>
          <w:lang w:eastAsia="zh-CN"/>
        </w:rPr>
      </w:pPr>
      <w:r w:rsidRPr="008E3CD8">
        <w:rPr>
          <w:lang w:val="en-NZ"/>
        </w:rPr>
        <w:t>New Zealand supports appropriate studies particularly to analyse any potential impact on the widespread deployment of RLANs in the 5 250-5 350 MHz and 5 470-5 725 MHz, noting that this issue could be considered in conjunction with WRC-19 Agenda item 1.16.</w:t>
      </w:r>
    </w:p>
    <w:p w:rsidR="00E456F4" w:rsidRPr="00745EE4" w:rsidRDefault="00E456F4" w:rsidP="00E456F4">
      <w:pPr>
        <w:spacing w:beforeLines="50" w:before="120" w:afterLines="50" w:after="120"/>
        <w:jc w:val="both"/>
        <w:rPr>
          <w:rFonts w:eastAsiaTheme="minorEastAsia"/>
          <w:b/>
          <w:lang w:val="en-NZ" w:eastAsia="zh-CN"/>
        </w:rPr>
      </w:pPr>
      <w:r>
        <w:rPr>
          <w:rFonts w:eastAsiaTheme="minorEastAsia" w:hint="eastAsia"/>
          <w:b/>
          <w:lang w:val="en-NZ" w:eastAsia="zh-CN"/>
        </w:rPr>
        <w:t>3.1.3</w:t>
      </w:r>
      <w:r w:rsidRPr="00745EE4">
        <w:rPr>
          <w:rFonts w:eastAsiaTheme="minorEastAsia" w:hint="eastAsia"/>
          <w:b/>
          <w:lang w:val="en-NZ" w:eastAsia="zh-CN"/>
        </w:rPr>
        <w:t xml:space="preserve"> </w:t>
      </w:r>
      <w:r w:rsidRPr="000F6941">
        <w:rPr>
          <w:rFonts w:eastAsiaTheme="minorEastAsia"/>
          <w:b/>
          <w:lang w:val="en-NZ" w:eastAsia="zh-CN"/>
        </w:rPr>
        <w:t>Australia</w:t>
      </w:r>
      <w:r w:rsidRPr="00745EE4">
        <w:rPr>
          <w:rFonts w:eastAsiaTheme="minorEastAsia"/>
          <w:b/>
          <w:lang w:val="en-NZ" w:eastAsia="zh-CN"/>
        </w:rPr>
        <w:t xml:space="preserve"> </w:t>
      </w:r>
    </w:p>
    <w:p w:rsidR="00E456F4" w:rsidRPr="00FA217B" w:rsidRDefault="006066CF" w:rsidP="00E456F4">
      <w:pPr>
        <w:spacing w:beforeLines="50" w:before="120" w:afterLines="50" w:after="120"/>
        <w:ind w:leftChars="295" w:left="708"/>
        <w:jc w:val="both"/>
        <w:rPr>
          <w:rFonts w:eastAsiaTheme="minorEastAsia"/>
          <w:iCs/>
          <w:lang w:eastAsia="zh-CN"/>
        </w:rPr>
      </w:pPr>
      <w:r w:rsidRPr="006066CF">
        <w:rPr>
          <w:rFonts w:eastAsiaTheme="minorEastAsia"/>
          <w:iCs/>
          <w:lang w:eastAsia="zh-CN"/>
        </w:rPr>
        <w:t>It is recognized that additional studies on compatibility between WAS/RLAN systems and radiolocation systems might be required, and that radiolocation systems are to be protected in accordance with parameters defined under the Recommendations ITU-R M.1638-1 and M.1849-1.</w:t>
      </w:r>
    </w:p>
    <w:p w:rsidR="00E456F4" w:rsidRDefault="00E456F4" w:rsidP="00E456F4">
      <w:pPr>
        <w:spacing w:beforeLines="50" w:before="120" w:afterLines="50" w:after="120"/>
        <w:jc w:val="both"/>
        <w:rPr>
          <w:rFonts w:eastAsiaTheme="minorEastAsia"/>
          <w:b/>
          <w:lang w:val="en-NZ" w:eastAsia="zh-CN"/>
        </w:rPr>
      </w:pPr>
      <w:r>
        <w:rPr>
          <w:rFonts w:eastAsiaTheme="minorEastAsia"/>
          <w:b/>
          <w:lang w:val="en-NZ" w:eastAsia="zh-CN"/>
        </w:rPr>
        <w:t>3.1.</w:t>
      </w:r>
      <w:r w:rsidR="006066CF">
        <w:rPr>
          <w:rFonts w:eastAsiaTheme="minorEastAsia"/>
          <w:b/>
          <w:lang w:val="en-NZ" w:eastAsia="zh-CN"/>
        </w:rPr>
        <w:t>4</w:t>
      </w:r>
      <w:r w:rsidRPr="00D415A8">
        <w:rPr>
          <w:rFonts w:eastAsiaTheme="minorEastAsia"/>
          <w:b/>
          <w:lang w:val="en-NZ" w:eastAsia="zh-CN"/>
        </w:rPr>
        <w:t xml:space="preserve"> </w:t>
      </w:r>
      <w:r w:rsidRPr="00745EE4">
        <w:rPr>
          <w:rFonts w:eastAsiaTheme="minorEastAsia"/>
          <w:b/>
          <w:lang w:val="en-NZ" w:eastAsia="zh-CN"/>
        </w:rPr>
        <w:t>Indonesia</w:t>
      </w:r>
    </w:p>
    <w:p w:rsidR="00E456F4" w:rsidRPr="00FA217B" w:rsidRDefault="006066CF" w:rsidP="00E456F4">
      <w:pPr>
        <w:spacing w:beforeLines="50" w:before="120" w:afterLines="50" w:after="120"/>
        <w:ind w:leftChars="295" w:left="708"/>
        <w:jc w:val="both"/>
        <w:rPr>
          <w:rFonts w:eastAsiaTheme="minorEastAsia"/>
          <w:iCs/>
          <w:lang w:eastAsia="zh-CN"/>
        </w:rPr>
      </w:pPr>
      <w:r w:rsidRPr="006066CF">
        <w:rPr>
          <w:rFonts w:eastAsiaTheme="minorEastAsia"/>
          <w:iCs/>
          <w:lang w:eastAsia="zh-CN"/>
        </w:rPr>
        <w:t>Indonesia is of the view to follow up the studies on technical and regulatory impacts on the services referred to in Nos. 5.447F and 5.450A that would result from referencing Recommendation ITU-R M.1638-1 in place of Recommendation ITU-R M.1638-0 in those footnotes and from adding a new reference to Recommendation ITU-R M.1849-1 to these footnotes, while ensuring that no undue constraints are imposed on the services referenced in these footnotes and ensure protection of the existing services without adding new restrictions on them.</w:t>
      </w:r>
    </w:p>
    <w:p w:rsidR="00E456F4" w:rsidRDefault="00E456F4" w:rsidP="00E456F4">
      <w:pPr>
        <w:spacing w:beforeLines="50" w:before="120" w:afterLines="50" w:after="120"/>
        <w:jc w:val="both"/>
        <w:rPr>
          <w:rFonts w:eastAsiaTheme="minorEastAsia"/>
          <w:b/>
          <w:lang w:val="en-NZ" w:eastAsia="zh-CN"/>
        </w:rPr>
      </w:pPr>
      <w:r>
        <w:rPr>
          <w:rFonts w:eastAsiaTheme="minorEastAsia"/>
          <w:b/>
          <w:lang w:val="en-NZ" w:eastAsia="zh-CN"/>
        </w:rPr>
        <w:t>3.1.</w:t>
      </w:r>
      <w:r w:rsidR="006066CF">
        <w:rPr>
          <w:rFonts w:eastAsiaTheme="minorEastAsia"/>
          <w:b/>
          <w:lang w:val="en-NZ" w:eastAsia="zh-CN"/>
        </w:rPr>
        <w:t>5</w:t>
      </w:r>
      <w:r w:rsidRPr="00D415A8">
        <w:rPr>
          <w:rFonts w:eastAsiaTheme="minorEastAsia"/>
          <w:b/>
          <w:lang w:val="en-NZ" w:eastAsia="zh-CN"/>
        </w:rPr>
        <w:t xml:space="preserve"> </w:t>
      </w:r>
      <w:r w:rsidRPr="00C50B11">
        <w:rPr>
          <w:rFonts w:eastAsiaTheme="minorEastAsia" w:hint="eastAsia"/>
          <w:b/>
          <w:lang w:val="en-NZ" w:eastAsia="zh-CN"/>
        </w:rPr>
        <w:t>Japan</w:t>
      </w:r>
    </w:p>
    <w:p w:rsidR="00E456F4" w:rsidRPr="00FA217B" w:rsidRDefault="006066CF" w:rsidP="00E456F4">
      <w:pPr>
        <w:spacing w:beforeLines="50" w:before="120" w:afterLines="50" w:after="120"/>
        <w:ind w:leftChars="295" w:left="708"/>
        <w:jc w:val="both"/>
        <w:rPr>
          <w:rFonts w:eastAsiaTheme="minorEastAsia"/>
          <w:iCs/>
          <w:lang w:eastAsia="zh-CN"/>
        </w:rPr>
      </w:pPr>
      <w:r w:rsidRPr="006066CF">
        <w:rPr>
          <w:rFonts w:eastAsiaTheme="minorEastAsia"/>
          <w:iCs/>
          <w:lang w:eastAsia="zh-CN"/>
        </w:rPr>
        <w:t>Japan supports the studies being conducted in ITU-R in accordance with Resolution 764 (WRC-15).</w:t>
      </w:r>
    </w:p>
    <w:p w:rsidR="008454C8" w:rsidRPr="00197C18" w:rsidRDefault="008454C8" w:rsidP="008454C8">
      <w:pPr>
        <w:spacing w:after="120"/>
        <w:jc w:val="both"/>
        <w:rPr>
          <w:b/>
          <w:lang w:val="en-NZ"/>
        </w:rPr>
      </w:pPr>
      <w:r w:rsidRPr="00197C18">
        <w:rPr>
          <w:b/>
          <w:lang w:val="en-NZ"/>
        </w:rPr>
        <w:t xml:space="preserve">3.2 </w:t>
      </w:r>
      <w:r w:rsidRPr="00197C18">
        <w:rPr>
          <w:b/>
          <w:lang w:val="en-NZ"/>
        </w:rPr>
        <w:tab/>
      </w:r>
      <w:r w:rsidRPr="00197C18">
        <w:rPr>
          <w:b/>
          <w:lang w:val="en-NZ" w:eastAsia="ko-KR"/>
        </w:rPr>
        <w:t>Key</w:t>
      </w:r>
      <w:r w:rsidRPr="00197C18">
        <w:rPr>
          <w:b/>
          <w:lang w:val="en-NZ"/>
        </w:rPr>
        <w:t xml:space="preserve"> </w:t>
      </w:r>
      <w:r w:rsidRPr="00197C18">
        <w:rPr>
          <w:b/>
          <w:lang w:val="en-NZ" w:eastAsia="ko-KR"/>
        </w:rPr>
        <w:t>points</w:t>
      </w:r>
      <w:r w:rsidRPr="00197C18">
        <w:rPr>
          <w:b/>
          <w:lang w:val="en-NZ"/>
        </w:rPr>
        <w:t xml:space="preserve"> raised during the meeting</w:t>
      </w:r>
    </w:p>
    <w:p w:rsidR="00B64A60" w:rsidRDefault="00B64A60" w:rsidP="00B64A60">
      <w:pPr>
        <w:spacing w:after="120"/>
        <w:jc w:val="both"/>
        <w:rPr>
          <w:b/>
          <w:lang w:val="en-NZ" w:eastAsia="ko-KR"/>
        </w:rPr>
      </w:pPr>
      <w:bookmarkStart w:id="0" w:name="_GoBack"/>
      <w:bookmarkEnd w:id="0"/>
      <w:r w:rsidRPr="00710333">
        <w:rPr>
          <w:b/>
          <w:lang w:val="en-NZ" w:eastAsia="ko-KR"/>
        </w:rPr>
        <w:lastRenderedPageBreak/>
        <w:t xml:space="preserve">4. </w:t>
      </w:r>
      <w:r>
        <w:rPr>
          <w:b/>
          <w:lang w:val="en-NZ" w:eastAsia="ko-KR"/>
        </w:rPr>
        <w:tab/>
      </w:r>
      <w:r w:rsidR="004465AA">
        <w:rPr>
          <w:b/>
          <w:lang w:val="en-NZ" w:eastAsia="ko-KR"/>
        </w:rPr>
        <w:t xml:space="preserve">APT </w:t>
      </w:r>
      <w:r>
        <w:rPr>
          <w:b/>
          <w:lang w:val="en-NZ" w:eastAsia="ko-KR"/>
        </w:rPr>
        <w:t xml:space="preserve">Preliminary </w:t>
      </w:r>
      <w:r w:rsidRPr="00710333">
        <w:rPr>
          <w:b/>
          <w:lang w:val="en-NZ" w:eastAsia="ko-KR"/>
        </w:rPr>
        <w:t>View</w:t>
      </w:r>
      <w:r w:rsidR="00D53688">
        <w:rPr>
          <w:b/>
          <w:lang w:val="en-NZ" w:eastAsia="ko-KR"/>
        </w:rPr>
        <w:t>(s)</w:t>
      </w:r>
    </w:p>
    <w:p w:rsidR="0009345B" w:rsidRPr="00D838DA" w:rsidRDefault="00544EB4" w:rsidP="00615212">
      <w:pPr>
        <w:numPr>
          <w:ilvl w:val="0"/>
          <w:numId w:val="18"/>
        </w:numPr>
        <w:ind w:leftChars="145" w:left="708"/>
        <w:rPr>
          <w:lang w:val="en-NZ"/>
        </w:rPr>
      </w:pPr>
      <w:r w:rsidRPr="00544EB4">
        <w:rPr>
          <w:rFonts w:hint="eastAsia"/>
          <w:lang w:val="en-NZ"/>
        </w:rPr>
        <w:t>APT M</w:t>
      </w:r>
      <w:r w:rsidR="00615212" w:rsidRPr="00544EB4">
        <w:rPr>
          <w:rFonts w:hint="eastAsia"/>
          <w:lang w:val="en-NZ"/>
        </w:rPr>
        <w:t xml:space="preserve">embers </w:t>
      </w:r>
      <w:r w:rsidR="00615212" w:rsidRPr="00544EB4">
        <w:rPr>
          <w:lang w:val="en-NZ"/>
        </w:rPr>
        <w:t>support</w:t>
      </w:r>
      <w:r w:rsidR="00615212" w:rsidRPr="00544EB4">
        <w:rPr>
          <w:rFonts w:hint="eastAsia"/>
          <w:lang w:val="en-NZ"/>
        </w:rPr>
        <w:t xml:space="preserve"> </w:t>
      </w:r>
      <w:r w:rsidR="00615212" w:rsidRPr="00544EB4">
        <w:rPr>
          <w:lang w:val="en-NZ"/>
        </w:rPr>
        <w:t xml:space="preserve">ITU-R studies to </w:t>
      </w:r>
      <w:r w:rsidR="00615212" w:rsidRPr="00544EB4">
        <w:rPr>
          <w:rFonts w:eastAsia="Calibri"/>
        </w:rPr>
        <w:t xml:space="preserve">investigate the </w:t>
      </w:r>
      <w:r w:rsidR="00615212" w:rsidRPr="00544EB4">
        <w:rPr>
          <w:rFonts w:eastAsiaTheme="minorEastAsia"/>
          <w:iCs/>
          <w:lang w:eastAsia="zh-CN"/>
        </w:rPr>
        <w:t xml:space="preserve">technical and regulatory impacts on the services referred to in Nos. 5.447F and 5.450A that would result from referencing Recommendation ITU-R M.1638-1 in place of Recommendation ITU-R M.1638-0 in those footnotes and to also add a new reference to Recommendation ITU-R M.1849-1 to these footnotes. </w:t>
      </w:r>
      <w:r w:rsidR="00615212" w:rsidRPr="00D838DA">
        <w:rPr>
          <w:rFonts w:eastAsiaTheme="minorEastAsia"/>
          <w:iCs/>
          <w:lang w:eastAsia="zh-CN"/>
        </w:rPr>
        <w:t xml:space="preserve">In so doing, </w:t>
      </w:r>
      <w:r w:rsidR="00516AF0" w:rsidRPr="00D838DA">
        <w:rPr>
          <w:rFonts w:eastAsiaTheme="minorEastAsia"/>
          <w:iCs/>
          <w:lang w:eastAsia="zh-CN"/>
        </w:rPr>
        <w:t xml:space="preserve">APT Members also support </w:t>
      </w:r>
      <w:r w:rsidR="00615212" w:rsidRPr="00D838DA">
        <w:rPr>
          <w:rFonts w:eastAsiaTheme="minorEastAsia"/>
          <w:iCs/>
          <w:lang w:eastAsia="zh-CN"/>
        </w:rPr>
        <w:t>to ensure the protection of the services to which the band is allocated including those which are referenced in these footnotes without any constraints to these services.</w:t>
      </w:r>
    </w:p>
    <w:p w:rsidR="00615212" w:rsidRPr="00544EB4" w:rsidRDefault="00615212" w:rsidP="00615212">
      <w:pPr>
        <w:numPr>
          <w:ilvl w:val="0"/>
          <w:numId w:val="18"/>
        </w:numPr>
        <w:ind w:leftChars="145" w:left="708"/>
        <w:rPr>
          <w:lang w:val="en-NZ"/>
        </w:rPr>
      </w:pPr>
    </w:p>
    <w:p w:rsidR="00B64A60" w:rsidRPr="00544EB4" w:rsidRDefault="00B64A60" w:rsidP="00B64A60">
      <w:pPr>
        <w:spacing w:after="120"/>
        <w:jc w:val="both"/>
        <w:rPr>
          <w:b/>
          <w:lang w:val="en-NZ" w:eastAsia="ko-KR"/>
        </w:rPr>
      </w:pPr>
      <w:r w:rsidRPr="00544EB4">
        <w:rPr>
          <w:b/>
          <w:lang w:val="en-NZ" w:eastAsia="ko-KR"/>
        </w:rPr>
        <w:t xml:space="preserve">5. </w:t>
      </w:r>
      <w:r w:rsidRPr="00544EB4">
        <w:rPr>
          <w:b/>
          <w:lang w:val="en-NZ" w:eastAsia="ko-KR"/>
        </w:rPr>
        <w:tab/>
        <w:t>Other Views</w:t>
      </w:r>
    </w:p>
    <w:p w:rsidR="00B64A60" w:rsidRPr="00D838DA" w:rsidRDefault="009C4D7A" w:rsidP="007368CC">
      <w:pPr>
        <w:numPr>
          <w:ilvl w:val="0"/>
          <w:numId w:val="18"/>
        </w:numPr>
        <w:ind w:leftChars="145" w:left="708"/>
        <w:rPr>
          <w:lang w:val="en-NZ"/>
        </w:rPr>
      </w:pPr>
      <w:r w:rsidRPr="00D838DA">
        <w:rPr>
          <w:lang w:val="en-NZ"/>
        </w:rPr>
        <w:t>Some APT Members are of the view that t</w:t>
      </w:r>
      <w:r w:rsidR="007368CC" w:rsidRPr="00D838DA">
        <w:rPr>
          <w:lang w:val="en-NZ"/>
        </w:rPr>
        <w:t>his issue could be considered in conjunction with WRC-19 Agenda item 1.16.</w:t>
      </w:r>
    </w:p>
    <w:p w:rsidR="007368CC" w:rsidRDefault="007368CC" w:rsidP="007368CC">
      <w:pPr>
        <w:ind w:left="348"/>
        <w:rPr>
          <w:lang w:val="en-NZ"/>
        </w:rPr>
      </w:pPr>
    </w:p>
    <w:p w:rsidR="00205D4E" w:rsidRDefault="00205D4E" w:rsidP="00205D4E">
      <w:pPr>
        <w:rPr>
          <w:b/>
          <w:lang w:val="en-NZ"/>
        </w:rPr>
      </w:pPr>
      <w:r>
        <w:rPr>
          <w:b/>
          <w:lang w:val="en-NZ"/>
        </w:rPr>
        <w:t xml:space="preserve">6. </w:t>
      </w:r>
      <w:r>
        <w:rPr>
          <w:b/>
          <w:lang w:val="en-NZ"/>
        </w:rPr>
        <w:tab/>
        <w:t>Views from Other Organisations</w:t>
      </w:r>
    </w:p>
    <w:p w:rsidR="00205D4E" w:rsidRPr="00553D34" w:rsidRDefault="00205D4E" w:rsidP="00205D4E">
      <w:pPr>
        <w:numPr>
          <w:ilvl w:val="0"/>
          <w:numId w:val="18"/>
        </w:numPr>
        <w:ind w:leftChars="145" w:left="708"/>
        <w:rPr>
          <w:lang w:val="en-NZ"/>
        </w:rPr>
      </w:pPr>
      <w:r>
        <w:rPr>
          <w:rFonts w:eastAsiaTheme="minorEastAsia" w:hint="eastAsia"/>
          <w:lang w:val="en-NZ" w:eastAsia="zh-CN"/>
        </w:rPr>
        <w:t>ASMG</w:t>
      </w:r>
    </w:p>
    <w:p w:rsidR="00205D4E" w:rsidRPr="00665CF2" w:rsidRDefault="00665CF2" w:rsidP="00665CF2">
      <w:pPr>
        <w:ind w:left="708"/>
        <w:rPr>
          <w:rFonts w:eastAsiaTheme="minorEastAsia"/>
          <w:lang w:val="en-NZ" w:eastAsia="zh-CN"/>
        </w:rPr>
      </w:pPr>
      <w:r w:rsidRPr="00665CF2">
        <w:rPr>
          <w:rFonts w:eastAsiaTheme="minorEastAsia"/>
          <w:lang w:val="en-NZ" w:eastAsia="zh-CN"/>
        </w:rPr>
        <w:t xml:space="preserve">Follow </w:t>
      </w:r>
      <w:r w:rsidR="00205D4E" w:rsidRPr="00665CF2">
        <w:rPr>
          <w:rFonts w:eastAsiaTheme="minorEastAsia"/>
          <w:lang w:val="en-NZ" w:eastAsia="zh-CN"/>
        </w:rPr>
        <w:t xml:space="preserve">up </w:t>
      </w:r>
      <w:r w:rsidRPr="00665CF2">
        <w:rPr>
          <w:rFonts w:eastAsiaTheme="minorEastAsia"/>
          <w:lang w:val="en-NZ" w:eastAsia="zh-CN"/>
        </w:rPr>
        <w:t xml:space="preserve">the </w:t>
      </w:r>
      <w:r w:rsidR="00205D4E" w:rsidRPr="00665CF2">
        <w:rPr>
          <w:rFonts w:eastAsiaTheme="minorEastAsia"/>
          <w:lang w:val="en-NZ" w:eastAsia="zh-CN"/>
        </w:rPr>
        <w:t>studies</w:t>
      </w:r>
      <w:r w:rsidRPr="00665CF2">
        <w:rPr>
          <w:rFonts w:eastAsiaTheme="minorEastAsia"/>
          <w:lang w:val="en-NZ" w:eastAsia="zh-CN"/>
        </w:rPr>
        <w:t xml:space="preserve"> and e</w:t>
      </w:r>
      <w:r w:rsidR="00205D4E" w:rsidRPr="00665CF2">
        <w:rPr>
          <w:rFonts w:eastAsiaTheme="minorEastAsia"/>
          <w:lang w:val="en-NZ" w:eastAsia="zh-CN"/>
        </w:rPr>
        <w:t xml:space="preserve">nsure protection of the existing services without adding any new restrictions on them. </w:t>
      </w:r>
    </w:p>
    <w:p w:rsidR="00205D4E" w:rsidRPr="00610486" w:rsidRDefault="00205D4E" w:rsidP="00205D4E">
      <w:pPr>
        <w:numPr>
          <w:ilvl w:val="0"/>
          <w:numId w:val="18"/>
        </w:numPr>
        <w:ind w:leftChars="145" w:left="708"/>
        <w:rPr>
          <w:lang w:val="en-NZ"/>
        </w:rPr>
      </w:pPr>
      <w:r>
        <w:rPr>
          <w:rFonts w:eastAsiaTheme="minorEastAsia" w:hint="eastAsia"/>
          <w:lang w:val="en-NZ" w:eastAsia="zh-CN"/>
        </w:rPr>
        <w:t>ATU</w:t>
      </w:r>
    </w:p>
    <w:p w:rsidR="00205D4E" w:rsidRPr="00FE17A6" w:rsidRDefault="00205D4E" w:rsidP="00205D4E">
      <w:pPr>
        <w:ind w:left="708"/>
        <w:rPr>
          <w:rFonts w:eastAsiaTheme="minorEastAsia"/>
          <w:lang w:val="en-NZ" w:eastAsia="zh-CN"/>
        </w:rPr>
      </w:pPr>
      <w:r w:rsidRPr="00FE17A6">
        <w:rPr>
          <w:rFonts w:eastAsiaTheme="minorEastAsia"/>
          <w:lang w:val="en-NZ" w:eastAsia="zh-CN"/>
        </w:rPr>
        <w:t>No preliminary position on this agenda item yet.</w:t>
      </w:r>
    </w:p>
    <w:p w:rsidR="00205D4E" w:rsidRPr="00FE17A6" w:rsidRDefault="00205D4E" w:rsidP="00205D4E">
      <w:pPr>
        <w:numPr>
          <w:ilvl w:val="0"/>
          <w:numId w:val="18"/>
        </w:numPr>
        <w:ind w:leftChars="145" w:left="708"/>
        <w:rPr>
          <w:rFonts w:eastAsiaTheme="minorEastAsia"/>
          <w:lang w:val="en-NZ" w:eastAsia="zh-CN"/>
        </w:rPr>
      </w:pPr>
      <w:r>
        <w:rPr>
          <w:rFonts w:eastAsiaTheme="minorEastAsia" w:hint="eastAsia"/>
          <w:lang w:val="en-NZ" w:eastAsia="zh-CN"/>
        </w:rPr>
        <w:t>CEPT</w:t>
      </w:r>
    </w:p>
    <w:p w:rsidR="00665CF2" w:rsidRPr="00665CF2" w:rsidRDefault="00665CF2" w:rsidP="00B538DC">
      <w:pPr>
        <w:pStyle w:val="ListParagraph"/>
        <w:numPr>
          <w:ilvl w:val="0"/>
          <w:numId w:val="26"/>
        </w:numPr>
        <w:rPr>
          <w:rFonts w:eastAsiaTheme="minorEastAsia"/>
          <w:lang w:val="en-NZ" w:eastAsia="zh-CN"/>
        </w:rPr>
      </w:pPr>
      <w:r w:rsidRPr="00665CF2">
        <w:rPr>
          <w:rFonts w:eastAsiaTheme="minorEastAsia"/>
          <w:lang w:val="en-NZ" w:eastAsia="zh-CN"/>
        </w:rPr>
        <w:t>CEPT is of the view that Recommendation ITU-R M.1849-1 (on Met based radars) can be referenced in No 5.450A without changes to the allocation conditions of the frequency band 5 470-5 725 MHz for the incumbent radio services.</w:t>
      </w:r>
    </w:p>
    <w:p w:rsidR="00205D4E" w:rsidRPr="00665CF2" w:rsidRDefault="00665CF2" w:rsidP="00800F6C">
      <w:pPr>
        <w:pStyle w:val="ListParagraph"/>
        <w:numPr>
          <w:ilvl w:val="0"/>
          <w:numId w:val="26"/>
        </w:numPr>
        <w:rPr>
          <w:rFonts w:eastAsiaTheme="minorEastAsia"/>
          <w:lang w:val="en-NZ" w:eastAsia="zh-CN"/>
        </w:rPr>
      </w:pPr>
      <w:r w:rsidRPr="00665CF2">
        <w:rPr>
          <w:rFonts w:eastAsiaTheme="minorEastAsia"/>
          <w:lang w:val="en-NZ" w:eastAsia="zh-CN"/>
        </w:rPr>
        <w:t>CEPT is still investigating the potential technical and regulatory impacts of referencing Recommendation ITU-R M.1638-1 (on radars except Met radars) in Nos 5.447F and 5.450A, in particular in the light of DFS specifications, noting that studies have shown that, if the reference to Recommendation ITU-R M.1638 is updated, there may be undue constraints placed on the existing mobile service (WAS including RLAN), since the mobile service (WAS including RLAN) cannot ensure the required protection of some types of radars in Recommendation ITU-R M.1638-1</w:t>
      </w:r>
    </w:p>
    <w:p w:rsidR="00205D4E" w:rsidRPr="00E0156E" w:rsidRDefault="00205D4E" w:rsidP="00205D4E">
      <w:pPr>
        <w:numPr>
          <w:ilvl w:val="0"/>
          <w:numId w:val="18"/>
        </w:numPr>
        <w:ind w:leftChars="145" w:left="708"/>
        <w:rPr>
          <w:lang w:val="en-NZ"/>
        </w:rPr>
      </w:pPr>
      <w:r>
        <w:rPr>
          <w:rFonts w:eastAsiaTheme="minorEastAsia" w:hint="eastAsia"/>
          <w:lang w:val="en-NZ" w:eastAsia="zh-CN"/>
        </w:rPr>
        <w:t>CITEL</w:t>
      </w:r>
    </w:p>
    <w:p w:rsidR="00205D4E" w:rsidRPr="00665CF2" w:rsidRDefault="00665CF2" w:rsidP="00665CF2">
      <w:pPr>
        <w:ind w:left="708"/>
        <w:rPr>
          <w:rFonts w:eastAsiaTheme="minorEastAsia"/>
          <w:lang w:val="en-NZ" w:eastAsia="zh-CN"/>
        </w:rPr>
      </w:pPr>
      <w:r w:rsidRPr="00665CF2">
        <w:rPr>
          <w:rFonts w:eastAsiaTheme="minorEastAsia"/>
          <w:lang w:val="en-NZ" w:eastAsia="zh-CN"/>
        </w:rPr>
        <w:t>TBD</w:t>
      </w:r>
      <w:r w:rsidR="00205D4E" w:rsidRPr="00665CF2">
        <w:rPr>
          <w:rFonts w:eastAsiaTheme="minorEastAsia"/>
          <w:lang w:val="en-NZ" w:eastAsia="zh-CN"/>
        </w:rPr>
        <w:t>.</w:t>
      </w:r>
    </w:p>
    <w:p w:rsidR="00205D4E" w:rsidRPr="00E3567D" w:rsidRDefault="00205D4E" w:rsidP="00205D4E">
      <w:pPr>
        <w:numPr>
          <w:ilvl w:val="0"/>
          <w:numId w:val="18"/>
        </w:numPr>
        <w:ind w:leftChars="145" w:left="708"/>
        <w:rPr>
          <w:lang w:val="en-NZ"/>
        </w:rPr>
      </w:pPr>
      <w:r>
        <w:rPr>
          <w:rFonts w:eastAsiaTheme="minorEastAsia" w:hint="eastAsia"/>
          <w:lang w:val="en-NZ" w:eastAsia="zh-CN"/>
        </w:rPr>
        <w:t>RCC</w:t>
      </w:r>
    </w:p>
    <w:p w:rsidR="006E5643" w:rsidRPr="006E5643" w:rsidRDefault="006E5643" w:rsidP="006E5643">
      <w:pPr>
        <w:pStyle w:val="ListParagraph"/>
        <w:numPr>
          <w:ilvl w:val="0"/>
          <w:numId w:val="26"/>
        </w:numPr>
        <w:rPr>
          <w:rFonts w:eastAsiaTheme="minorEastAsia"/>
          <w:lang w:val="en-NZ" w:eastAsia="zh-CN"/>
        </w:rPr>
      </w:pPr>
      <w:r w:rsidRPr="006E5643">
        <w:rPr>
          <w:rFonts w:eastAsiaTheme="minorEastAsia"/>
          <w:lang w:val="en-NZ" w:eastAsia="zh-CN"/>
        </w:rPr>
        <w:t>The RCC Administrations consider that additional studies on compatibility between WAS/RLAN systems and radiolocation systems might be required, in addition to those which have been already conducted in preparation to WRC-15 and which have been identified in WRC-19 agenda item 1.16, and they should take into account parameters of new radiolocation systems, described in Recommendations ITU-R M.1638-1 and M.1849-1.</w:t>
      </w:r>
    </w:p>
    <w:p w:rsidR="006E5643" w:rsidRPr="006E5643" w:rsidRDefault="006E5643" w:rsidP="006E5643">
      <w:pPr>
        <w:pStyle w:val="ListParagraph"/>
        <w:numPr>
          <w:ilvl w:val="0"/>
          <w:numId w:val="26"/>
        </w:numPr>
        <w:rPr>
          <w:rFonts w:eastAsiaTheme="minorEastAsia"/>
          <w:lang w:val="en-NZ" w:eastAsia="zh-CN"/>
        </w:rPr>
      </w:pPr>
      <w:r w:rsidRPr="006E5643">
        <w:rPr>
          <w:rFonts w:eastAsiaTheme="minorEastAsia"/>
          <w:lang w:val="en-NZ" w:eastAsia="zh-CN"/>
        </w:rPr>
        <w:t xml:space="preserve">The RCC Administrations are in favour of maintaining the conditions for use of the allocation of the frequency bands 5250–5350 MHz and 5470–5725 MHz by </w:t>
      </w:r>
      <w:proofErr w:type="spellStart"/>
      <w:r w:rsidRPr="006E5643">
        <w:rPr>
          <w:rFonts w:eastAsiaTheme="minorEastAsia"/>
          <w:lang w:val="en-NZ" w:eastAsia="zh-CN"/>
        </w:rPr>
        <w:t>radiodetermination</w:t>
      </w:r>
      <w:proofErr w:type="spellEnd"/>
      <w:r w:rsidRPr="006E5643">
        <w:rPr>
          <w:rFonts w:eastAsiaTheme="minorEastAsia"/>
          <w:lang w:val="en-NZ" w:eastAsia="zh-CN"/>
        </w:rPr>
        <w:t xml:space="preserve"> services.</w:t>
      </w:r>
    </w:p>
    <w:p w:rsidR="00E85DA2" w:rsidRPr="00D838DA" w:rsidRDefault="006E5643" w:rsidP="00D838DA">
      <w:pPr>
        <w:pStyle w:val="ListParagraph"/>
        <w:numPr>
          <w:ilvl w:val="0"/>
          <w:numId w:val="26"/>
        </w:numPr>
        <w:rPr>
          <w:rFonts w:eastAsiaTheme="minorEastAsia"/>
          <w:lang w:val="en-NZ" w:eastAsia="zh-CN"/>
        </w:rPr>
      </w:pPr>
      <w:r w:rsidRPr="006E5643">
        <w:rPr>
          <w:rFonts w:eastAsiaTheme="minorEastAsia"/>
          <w:lang w:val="en-NZ" w:eastAsia="zh-CN"/>
        </w:rPr>
        <w:t>The RSS Administrations consider that reference to Recommendations ITU-R М.1638-1 and М.1849-1 in the RR No. 5.450А would not result in changing the conditions for use of the frequency band 5470–5725 MHz allocations to services.</w:t>
      </w:r>
    </w:p>
    <w:p w:rsidR="00205D4E" w:rsidRPr="008D046E" w:rsidRDefault="00205D4E" w:rsidP="00205D4E">
      <w:pPr>
        <w:spacing w:after="120"/>
        <w:jc w:val="both"/>
        <w:rPr>
          <w:b/>
          <w:lang w:val="en-NZ" w:eastAsia="ko-KR"/>
        </w:rPr>
      </w:pPr>
      <w:r>
        <w:rPr>
          <w:b/>
          <w:lang w:val="en-NZ" w:eastAsia="ko-KR"/>
        </w:rPr>
        <w:t>7.</w:t>
      </w:r>
      <w:r w:rsidRPr="008D046E">
        <w:rPr>
          <w:b/>
          <w:lang w:val="en-NZ" w:eastAsia="ko-KR"/>
        </w:rPr>
        <w:t xml:space="preserve"> </w:t>
      </w:r>
      <w:r w:rsidRPr="008D046E">
        <w:rPr>
          <w:b/>
          <w:lang w:val="en-NZ" w:eastAsia="ko-KR"/>
        </w:rPr>
        <w:tab/>
        <w:t xml:space="preserve">Issues for </w:t>
      </w:r>
      <w:r>
        <w:rPr>
          <w:b/>
          <w:lang w:val="en-NZ" w:eastAsia="ko-KR"/>
        </w:rPr>
        <w:t>C</w:t>
      </w:r>
      <w:r w:rsidRPr="008D046E">
        <w:rPr>
          <w:b/>
          <w:lang w:val="en-NZ" w:eastAsia="ko-KR"/>
        </w:rPr>
        <w:t xml:space="preserve">onsideration at </w:t>
      </w:r>
      <w:r>
        <w:rPr>
          <w:b/>
          <w:lang w:val="en-NZ" w:eastAsia="ko-KR"/>
        </w:rPr>
        <w:t>N</w:t>
      </w:r>
      <w:r w:rsidRPr="008D046E">
        <w:rPr>
          <w:b/>
          <w:lang w:val="en-NZ" w:eastAsia="ko-KR"/>
        </w:rPr>
        <w:t xml:space="preserve">ext APG </w:t>
      </w:r>
      <w:r>
        <w:rPr>
          <w:b/>
          <w:lang w:val="en-NZ" w:eastAsia="ko-KR"/>
        </w:rPr>
        <w:t>M</w:t>
      </w:r>
      <w:r w:rsidRPr="008D046E">
        <w:rPr>
          <w:b/>
          <w:lang w:val="en-NZ" w:eastAsia="ko-KR"/>
        </w:rPr>
        <w:t>eeting</w:t>
      </w:r>
    </w:p>
    <w:p w:rsidR="00205D4E" w:rsidRPr="0074383A" w:rsidRDefault="00205D4E" w:rsidP="00D838DA">
      <w:pPr>
        <w:rPr>
          <w:rFonts w:eastAsiaTheme="minorEastAsia"/>
          <w:lang w:val="en-NZ" w:eastAsia="zh-CN"/>
        </w:rPr>
      </w:pPr>
      <w:r w:rsidRPr="0074383A">
        <w:rPr>
          <w:rFonts w:eastAsiaTheme="minorEastAsia"/>
          <w:lang w:val="en-NZ" w:eastAsia="zh-CN"/>
        </w:rPr>
        <w:lastRenderedPageBreak/>
        <w:t xml:space="preserve">APT Members are encouraged to contribute to the next APG </w:t>
      </w:r>
      <w:r>
        <w:rPr>
          <w:rFonts w:eastAsiaTheme="minorEastAsia"/>
          <w:lang w:val="en-NZ" w:eastAsia="zh-CN"/>
        </w:rPr>
        <w:t xml:space="preserve">meeting on the Agenda Item </w:t>
      </w:r>
      <w:r w:rsidRPr="007E2762">
        <w:rPr>
          <w:rFonts w:eastAsia="SimSun"/>
          <w:lang w:eastAsia="zh-CN"/>
        </w:rPr>
        <w:t>9.1, Issue 9.1.5</w:t>
      </w:r>
      <w:r w:rsidRPr="0074383A">
        <w:rPr>
          <w:rFonts w:eastAsiaTheme="minorEastAsia"/>
          <w:lang w:val="en-NZ" w:eastAsia="zh-CN"/>
        </w:rPr>
        <w:t>, taking into account the studies of ITU-R WP5</w:t>
      </w:r>
      <w:r>
        <w:rPr>
          <w:rFonts w:eastAsiaTheme="minorEastAsia"/>
          <w:lang w:val="en-NZ" w:eastAsia="zh-CN"/>
        </w:rPr>
        <w:t>A</w:t>
      </w:r>
      <w:r w:rsidRPr="0074383A">
        <w:rPr>
          <w:rFonts w:eastAsiaTheme="minorEastAsia"/>
          <w:lang w:val="en-NZ" w:eastAsia="zh-CN"/>
        </w:rPr>
        <w:t>.</w:t>
      </w:r>
    </w:p>
    <w:p w:rsidR="00B64A60" w:rsidRPr="00205D4E" w:rsidRDefault="00B64A60" w:rsidP="00B64A60">
      <w:pPr>
        <w:jc w:val="both"/>
        <w:rPr>
          <w:lang w:val="en-NZ"/>
        </w:rPr>
      </w:pPr>
    </w:p>
    <w:p w:rsidR="00B64A60" w:rsidRPr="00710333" w:rsidRDefault="00B64A60" w:rsidP="00B64A60">
      <w:pPr>
        <w:jc w:val="both"/>
        <w:rPr>
          <w:lang w:val="en-NZ"/>
        </w:rPr>
      </w:pPr>
    </w:p>
    <w:p w:rsidR="00654896" w:rsidRPr="004F6AAB" w:rsidRDefault="00654896" w:rsidP="00B64A60">
      <w:pPr>
        <w:rPr>
          <w:b/>
          <w:lang w:val="en-NZ"/>
        </w:rPr>
      </w:pPr>
    </w:p>
    <w:p w:rsidR="00B64A60" w:rsidRPr="00710333" w:rsidRDefault="00B64A60" w:rsidP="00B64A60">
      <w:pPr>
        <w:jc w:val="center"/>
        <w:rPr>
          <w:snapToGrid w:val="0"/>
          <w:lang w:val="en-NZ"/>
        </w:rPr>
      </w:pPr>
      <w:r w:rsidRPr="00710333">
        <w:rPr>
          <w:lang w:val="en-NZ"/>
        </w:rPr>
        <w:t>____________</w:t>
      </w:r>
    </w:p>
    <w:p w:rsidR="00930E64" w:rsidRPr="007673CA" w:rsidRDefault="00930E64" w:rsidP="00D13D9D">
      <w:pPr>
        <w:jc w:val="both"/>
        <w:rPr>
          <w:lang w:val="en-NZ"/>
        </w:rPr>
      </w:pPr>
    </w:p>
    <w:sectPr w:rsidR="00930E64" w:rsidRPr="007673CA"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945" w:rsidRDefault="00780945">
      <w:r>
        <w:separator/>
      </w:r>
    </w:p>
  </w:endnote>
  <w:endnote w:type="continuationSeparator" w:id="0">
    <w:p w:rsidR="00780945" w:rsidRDefault="0078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CA4706" w:rsidP="00CA4706">
    <w:pPr>
      <w:pStyle w:val="Footer"/>
      <w:ind w:right="360"/>
    </w:pPr>
    <w:r>
      <w:rPr>
        <w:rFonts w:hint="eastAsia"/>
        <w:lang w:eastAsia="ko-KR"/>
      </w:rPr>
      <w:t>A</w:t>
    </w:r>
    <w:r>
      <w:rPr>
        <w:lang w:eastAsia="ko-KR"/>
      </w:rPr>
      <w:t>PG19-2/OUT-26</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D838DA">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D838DA">
      <w:rPr>
        <w:rStyle w:val="PageNumber"/>
        <w:noProof/>
      </w:rPr>
      <w:t>4</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p>
      </w:tc>
      <w:tc>
        <w:tcPr>
          <w:tcW w:w="4394" w:type="dxa"/>
          <w:tcBorders>
            <w:top w:val="single" w:sz="12" w:space="0" w:color="auto"/>
          </w:tcBorders>
        </w:tcPr>
        <w:p w:rsidR="0097693B" w:rsidRDefault="0097693B" w:rsidP="00762576">
          <w:pPr>
            <w:rPr>
              <w:rFonts w:eastAsia="Batang"/>
            </w:rPr>
          </w:pPr>
        </w:p>
      </w:tc>
      <w:tc>
        <w:tcPr>
          <w:tcW w:w="3912" w:type="dxa"/>
          <w:tcBorders>
            <w:top w:val="single" w:sz="12" w:space="0" w:color="auto"/>
          </w:tcBorders>
        </w:tcPr>
        <w:p w:rsidR="0097693B" w:rsidRDefault="0097693B" w:rsidP="00762576">
          <w:pPr>
            <w:rPr>
              <w:lang w:eastAsia="ja-JP"/>
            </w:rPr>
          </w:pP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945" w:rsidRDefault="00780945">
      <w:r>
        <w:separator/>
      </w:r>
    </w:p>
  </w:footnote>
  <w:footnote w:type="continuationSeparator" w:id="0">
    <w:p w:rsidR="00780945" w:rsidRDefault="00780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D655B22"/>
    <w:multiLevelType w:val="hybridMultilevel"/>
    <w:tmpl w:val="DDE66CA6"/>
    <w:lvl w:ilvl="0" w:tplc="F9E469E6">
      <w:start w:val="1"/>
      <w:numFmt w:val="bullet"/>
      <w:lvlText w:val="­"/>
      <w:lvlJc w:val="left"/>
      <w:pPr>
        <w:ind w:left="720"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497C45"/>
    <w:multiLevelType w:val="hybridMultilevel"/>
    <w:tmpl w:val="85349F4A"/>
    <w:lvl w:ilvl="0" w:tplc="26387F42">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A8F34F1"/>
    <w:multiLevelType w:val="hybridMultilevel"/>
    <w:tmpl w:val="6A0E2BA2"/>
    <w:lvl w:ilvl="0" w:tplc="6DFCF1DE">
      <w:start w:val="2"/>
      <w:numFmt w:val="bullet"/>
      <w:lvlText w:val="-"/>
      <w:lvlJc w:val="left"/>
      <w:pPr>
        <w:ind w:left="768" w:hanging="420"/>
      </w:pPr>
      <w:rPr>
        <w:rFonts w:ascii="Times New Roman" w:eastAsia="BatangChe" w:hAnsi="Times New Roman" w:cs="Times New Roman" w:hint="default"/>
      </w:rPr>
    </w:lvl>
    <w:lvl w:ilvl="1" w:tplc="04090003" w:tentative="1">
      <w:start w:val="1"/>
      <w:numFmt w:val="bullet"/>
      <w:lvlText w:val=""/>
      <w:lvlJc w:val="left"/>
      <w:pPr>
        <w:ind w:left="1188" w:hanging="420"/>
      </w:pPr>
      <w:rPr>
        <w:rFonts w:ascii="Wingdings" w:hAnsi="Wingdings" w:hint="default"/>
      </w:rPr>
    </w:lvl>
    <w:lvl w:ilvl="2" w:tplc="04090005" w:tentative="1">
      <w:start w:val="1"/>
      <w:numFmt w:val="bullet"/>
      <w:lvlText w:val=""/>
      <w:lvlJc w:val="left"/>
      <w:pPr>
        <w:ind w:left="1608" w:hanging="420"/>
      </w:pPr>
      <w:rPr>
        <w:rFonts w:ascii="Wingdings" w:hAnsi="Wingdings" w:hint="default"/>
      </w:rPr>
    </w:lvl>
    <w:lvl w:ilvl="3" w:tplc="04090001" w:tentative="1">
      <w:start w:val="1"/>
      <w:numFmt w:val="bullet"/>
      <w:lvlText w:val=""/>
      <w:lvlJc w:val="left"/>
      <w:pPr>
        <w:ind w:left="2028" w:hanging="420"/>
      </w:pPr>
      <w:rPr>
        <w:rFonts w:ascii="Wingdings" w:hAnsi="Wingdings" w:hint="default"/>
      </w:rPr>
    </w:lvl>
    <w:lvl w:ilvl="4" w:tplc="04090003" w:tentative="1">
      <w:start w:val="1"/>
      <w:numFmt w:val="bullet"/>
      <w:lvlText w:val=""/>
      <w:lvlJc w:val="left"/>
      <w:pPr>
        <w:ind w:left="2448" w:hanging="420"/>
      </w:pPr>
      <w:rPr>
        <w:rFonts w:ascii="Wingdings" w:hAnsi="Wingdings" w:hint="default"/>
      </w:rPr>
    </w:lvl>
    <w:lvl w:ilvl="5" w:tplc="04090005" w:tentative="1">
      <w:start w:val="1"/>
      <w:numFmt w:val="bullet"/>
      <w:lvlText w:val=""/>
      <w:lvlJc w:val="left"/>
      <w:pPr>
        <w:ind w:left="2868" w:hanging="420"/>
      </w:pPr>
      <w:rPr>
        <w:rFonts w:ascii="Wingdings" w:hAnsi="Wingdings" w:hint="default"/>
      </w:rPr>
    </w:lvl>
    <w:lvl w:ilvl="6" w:tplc="04090001" w:tentative="1">
      <w:start w:val="1"/>
      <w:numFmt w:val="bullet"/>
      <w:lvlText w:val=""/>
      <w:lvlJc w:val="left"/>
      <w:pPr>
        <w:ind w:left="3288" w:hanging="420"/>
      </w:pPr>
      <w:rPr>
        <w:rFonts w:ascii="Wingdings" w:hAnsi="Wingdings" w:hint="default"/>
      </w:rPr>
    </w:lvl>
    <w:lvl w:ilvl="7" w:tplc="04090003" w:tentative="1">
      <w:start w:val="1"/>
      <w:numFmt w:val="bullet"/>
      <w:lvlText w:val=""/>
      <w:lvlJc w:val="left"/>
      <w:pPr>
        <w:ind w:left="3708" w:hanging="420"/>
      </w:pPr>
      <w:rPr>
        <w:rFonts w:ascii="Wingdings" w:hAnsi="Wingdings" w:hint="default"/>
      </w:rPr>
    </w:lvl>
    <w:lvl w:ilvl="8" w:tplc="04090005" w:tentative="1">
      <w:start w:val="1"/>
      <w:numFmt w:val="bullet"/>
      <w:lvlText w:val=""/>
      <w:lvlJc w:val="left"/>
      <w:pPr>
        <w:ind w:left="4128" w:hanging="420"/>
      </w:pPr>
      <w:rPr>
        <w:rFonts w:ascii="Wingdings" w:hAnsi="Wingdings" w:hint="default"/>
      </w:rPr>
    </w:lvl>
  </w:abstractNum>
  <w:abstractNum w:abstractNumId="14"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4B166195"/>
    <w:multiLevelType w:val="hybridMultilevel"/>
    <w:tmpl w:val="CFFC73B2"/>
    <w:lvl w:ilvl="0" w:tplc="26387F42">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AB1456"/>
    <w:multiLevelType w:val="hybridMultilevel"/>
    <w:tmpl w:val="B7FCD7D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1">
      <w:start w:val="1"/>
      <w:numFmt w:val="bullet"/>
      <w:lvlText w:val=""/>
      <w:lvlJc w:val="left"/>
      <w:pPr>
        <w:ind w:left="1120" w:hanging="400"/>
      </w:pPr>
      <w:rPr>
        <w:rFonts w:ascii="Symbol" w:hAnsi="Symbol"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76F2879"/>
    <w:multiLevelType w:val="hybridMultilevel"/>
    <w:tmpl w:val="C3A41E38"/>
    <w:lvl w:ilvl="0" w:tplc="218EB4EC">
      <w:start w:val="1"/>
      <w:numFmt w:val="bullet"/>
      <w:lvlText w:val="•"/>
      <w:lvlJc w:val="left"/>
      <w:pPr>
        <w:ind w:left="1128" w:hanging="420"/>
      </w:pPr>
      <w:rPr>
        <w:rFonts w:ascii="SimSun" w:eastAsia="SimSun" w:hAnsi="SimSun" w:cs="Times New Roman" w:hint="eastAsia"/>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2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4"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1"/>
  </w:num>
  <w:num w:numId="2">
    <w:abstractNumId w:val="6"/>
  </w:num>
  <w:num w:numId="3">
    <w:abstractNumId w:val="5"/>
  </w:num>
  <w:num w:numId="4">
    <w:abstractNumId w:val="20"/>
  </w:num>
  <w:num w:numId="5">
    <w:abstractNumId w:val="10"/>
  </w:num>
  <w:num w:numId="6">
    <w:abstractNumId w:val="12"/>
  </w:num>
  <w:num w:numId="7">
    <w:abstractNumId w:val="3"/>
  </w:num>
  <w:num w:numId="8">
    <w:abstractNumId w:val="1"/>
  </w:num>
  <w:num w:numId="9">
    <w:abstractNumId w:val="23"/>
  </w:num>
  <w:num w:numId="10">
    <w:abstractNumId w:val="18"/>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4"/>
  </w:num>
  <w:num w:numId="17">
    <w:abstractNumId w:val="17"/>
  </w:num>
  <w:num w:numId="18">
    <w:abstractNumId w:val="14"/>
  </w:num>
  <w:num w:numId="19">
    <w:abstractNumId w:val="21"/>
  </w:num>
  <w:num w:numId="20">
    <w:abstractNumId w:val="9"/>
  </w:num>
  <w:num w:numId="21">
    <w:abstractNumId w:val="15"/>
  </w:num>
  <w:num w:numId="22">
    <w:abstractNumId w:val="19"/>
  </w:num>
  <w:num w:numId="23">
    <w:abstractNumId w:val="13"/>
  </w:num>
  <w:num w:numId="24">
    <w:abstractNumId w:val="2"/>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3595B"/>
    <w:rsid w:val="00036517"/>
    <w:rsid w:val="00036CC9"/>
    <w:rsid w:val="0006275E"/>
    <w:rsid w:val="00070642"/>
    <w:rsid w:val="000713CF"/>
    <w:rsid w:val="00075C14"/>
    <w:rsid w:val="000822B5"/>
    <w:rsid w:val="0009345B"/>
    <w:rsid w:val="00093FF1"/>
    <w:rsid w:val="00094B87"/>
    <w:rsid w:val="000A012B"/>
    <w:rsid w:val="000A2425"/>
    <w:rsid w:val="000A5418"/>
    <w:rsid w:val="000F345F"/>
    <w:rsid w:val="000F517C"/>
    <w:rsid w:val="000F5540"/>
    <w:rsid w:val="00105F1A"/>
    <w:rsid w:val="001409B2"/>
    <w:rsid w:val="00152636"/>
    <w:rsid w:val="001539DD"/>
    <w:rsid w:val="00156782"/>
    <w:rsid w:val="001731F4"/>
    <w:rsid w:val="00196568"/>
    <w:rsid w:val="00197C18"/>
    <w:rsid w:val="001A2F16"/>
    <w:rsid w:val="001B1804"/>
    <w:rsid w:val="001B18C2"/>
    <w:rsid w:val="001C61A5"/>
    <w:rsid w:val="001C6707"/>
    <w:rsid w:val="001D5D7E"/>
    <w:rsid w:val="001F07BE"/>
    <w:rsid w:val="001F5947"/>
    <w:rsid w:val="00202410"/>
    <w:rsid w:val="00205D4E"/>
    <w:rsid w:val="002122CA"/>
    <w:rsid w:val="00214A0C"/>
    <w:rsid w:val="0021588B"/>
    <w:rsid w:val="002216AC"/>
    <w:rsid w:val="002506D2"/>
    <w:rsid w:val="00250DE2"/>
    <w:rsid w:val="00254A1B"/>
    <w:rsid w:val="0026064A"/>
    <w:rsid w:val="0028454D"/>
    <w:rsid w:val="00291C9E"/>
    <w:rsid w:val="002926D4"/>
    <w:rsid w:val="002B06A3"/>
    <w:rsid w:val="002B435C"/>
    <w:rsid w:val="002B447F"/>
    <w:rsid w:val="002C07DA"/>
    <w:rsid w:val="002C7EA9"/>
    <w:rsid w:val="002F575D"/>
    <w:rsid w:val="003113D7"/>
    <w:rsid w:val="00342F20"/>
    <w:rsid w:val="00360377"/>
    <w:rsid w:val="00366548"/>
    <w:rsid w:val="003809C7"/>
    <w:rsid w:val="0038236C"/>
    <w:rsid w:val="00395B40"/>
    <w:rsid w:val="003A6568"/>
    <w:rsid w:val="003B6263"/>
    <w:rsid w:val="003C29E6"/>
    <w:rsid w:val="003C64A7"/>
    <w:rsid w:val="003D1671"/>
    <w:rsid w:val="003D3FDA"/>
    <w:rsid w:val="003D6D00"/>
    <w:rsid w:val="003E166F"/>
    <w:rsid w:val="003F5E93"/>
    <w:rsid w:val="004001E5"/>
    <w:rsid w:val="00403A78"/>
    <w:rsid w:val="00420822"/>
    <w:rsid w:val="00420C74"/>
    <w:rsid w:val="004465AA"/>
    <w:rsid w:val="0045458F"/>
    <w:rsid w:val="00454979"/>
    <w:rsid w:val="004633B4"/>
    <w:rsid w:val="004A2F96"/>
    <w:rsid w:val="004B3553"/>
    <w:rsid w:val="004B3F4B"/>
    <w:rsid w:val="00503189"/>
    <w:rsid w:val="00511DDC"/>
    <w:rsid w:val="00516AF0"/>
    <w:rsid w:val="00526D01"/>
    <w:rsid w:val="00530E8C"/>
    <w:rsid w:val="00544EB4"/>
    <w:rsid w:val="00545933"/>
    <w:rsid w:val="00552105"/>
    <w:rsid w:val="005562F2"/>
    <w:rsid w:val="00557544"/>
    <w:rsid w:val="00565BBB"/>
    <w:rsid w:val="0056724A"/>
    <w:rsid w:val="00585AF6"/>
    <w:rsid w:val="00585F3C"/>
    <w:rsid w:val="00586108"/>
    <w:rsid w:val="00586CA0"/>
    <w:rsid w:val="00587875"/>
    <w:rsid w:val="005A63EB"/>
    <w:rsid w:val="005C33B6"/>
    <w:rsid w:val="005D6202"/>
    <w:rsid w:val="005D6E98"/>
    <w:rsid w:val="00601E89"/>
    <w:rsid w:val="006066CF"/>
    <w:rsid w:val="00607E2B"/>
    <w:rsid w:val="006139D6"/>
    <w:rsid w:val="00615212"/>
    <w:rsid w:val="00616D1B"/>
    <w:rsid w:val="00623CE1"/>
    <w:rsid w:val="0063062B"/>
    <w:rsid w:val="00637351"/>
    <w:rsid w:val="00646166"/>
    <w:rsid w:val="006475C3"/>
    <w:rsid w:val="00654896"/>
    <w:rsid w:val="006621F0"/>
    <w:rsid w:val="006647BA"/>
    <w:rsid w:val="00665CF2"/>
    <w:rsid w:val="00667229"/>
    <w:rsid w:val="00680417"/>
    <w:rsid w:val="00682BE5"/>
    <w:rsid w:val="00684C98"/>
    <w:rsid w:val="00690FED"/>
    <w:rsid w:val="006939A5"/>
    <w:rsid w:val="006A7D55"/>
    <w:rsid w:val="006C46CA"/>
    <w:rsid w:val="006C6252"/>
    <w:rsid w:val="006D5223"/>
    <w:rsid w:val="006E12FC"/>
    <w:rsid w:val="006E5643"/>
    <w:rsid w:val="006F2B2E"/>
    <w:rsid w:val="00705962"/>
    <w:rsid w:val="00707C21"/>
    <w:rsid w:val="00712451"/>
    <w:rsid w:val="00717DE9"/>
    <w:rsid w:val="007248DC"/>
    <w:rsid w:val="0072518B"/>
    <w:rsid w:val="00731041"/>
    <w:rsid w:val="007329E4"/>
    <w:rsid w:val="00732F08"/>
    <w:rsid w:val="007342F0"/>
    <w:rsid w:val="007368CC"/>
    <w:rsid w:val="0074190C"/>
    <w:rsid w:val="00762576"/>
    <w:rsid w:val="007673CA"/>
    <w:rsid w:val="00780945"/>
    <w:rsid w:val="007904C5"/>
    <w:rsid w:val="00791060"/>
    <w:rsid w:val="007B5626"/>
    <w:rsid w:val="007B6124"/>
    <w:rsid w:val="007D3C53"/>
    <w:rsid w:val="007E2762"/>
    <w:rsid w:val="007F2628"/>
    <w:rsid w:val="007F2FBA"/>
    <w:rsid w:val="00800C3A"/>
    <w:rsid w:val="0080570B"/>
    <w:rsid w:val="008148E1"/>
    <w:rsid w:val="008319BF"/>
    <w:rsid w:val="008433C2"/>
    <w:rsid w:val="00844457"/>
    <w:rsid w:val="008454C8"/>
    <w:rsid w:val="00851D78"/>
    <w:rsid w:val="008A1A0D"/>
    <w:rsid w:val="008A76ED"/>
    <w:rsid w:val="008B3C72"/>
    <w:rsid w:val="008D0E09"/>
    <w:rsid w:val="008E45CA"/>
    <w:rsid w:val="00903007"/>
    <w:rsid w:val="00923816"/>
    <w:rsid w:val="0093074B"/>
    <w:rsid w:val="00930E64"/>
    <w:rsid w:val="00956F8C"/>
    <w:rsid w:val="00961D57"/>
    <w:rsid w:val="00976716"/>
    <w:rsid w:val="0097693B"/>
    <w:rsid w:val="00993355"/>
    <w:rsid w:val="009963F7"/>
    <w:rsid w:val="009A4A6D"/>
    <w:rsid w:val="009C4D7A"/>
    <w:rsid w:val="009E13DD"/>
    <w:rsid w:val="00A0503B"/>
    <w:rsid w:val="00A13265"/>
    <w:rsid w:val="00A14900"/>
    <w:rsid w:val="00A2159F"/>
    <w:rsid w:val="00A22E61"/>
    <w:rsid w:val="00A44A81"/>
    <w:rsid w:val="00A44B4C"/>
    <w:rsid w:val="00A529BC"/>
    <w:rsid w:val="00A5346C"/>
    <w:rsid w:val="00A562F0"/>
    <w:rsid w:val="00A564FB"/>
    <w:rsid w:val="00A614C1"/>
    <w:rsid w:val="00A64F33"/>
    <w:rsid w:val="00A71136"/>
    <w:rsid w:val="00A91031"/>
    <w:rsid w:val="00AA474C"/>
    <w:rsid w:val="00AC35EF"/>
    <w:rsid w:val="00AD2697"/>
    <w:rsid w:val="00AD7E5F"/>
    <w:rsid w:val="00AE3066"/>
    <w:rsid w:val="00AF68E4"/>
    <w:rsid w:val="00B01AA1"/>
    <w:rsid w:val="00B04738"/>
    <w:rsid w:val="00B22A3A"/>
    <w:rsid w:val="00B30C81"/>
    <w:rsid w:val="00B4793B"/>
    <w:rsid w:val="00B64A60"/>
    <w:rsid w:val="00B9123B"/>
    <w:rsid w:val="00B937D7"/>
    <w:rsid w:val="00B96B67"/>
    <w:rsid w:val="00BC57EF"/>
    <w:rsid w:val="00BD27C0"/>
    <w:rsid w:val="00BF25F9"/>
    <w:rsid w:val="00C13FD5"/>
    <w:rsid w:val="00C15633"/>
    <w:rsid w:val="00C15799"/>
    <w:rsid w:val="00C32E84"/>
    <w:rsid w:val="00C35415"/>
    <w:rsid w:val="00C357AD"/>
    <w:rsid w:val="00C408E8"/>
    <w:rsid w:val="00C53F98"/>
    <w:rsid w:val="00C554CC"/>
    <w:rsid w:val="00C6069C"/>
    <w:rsid w:val="00C62FA9"/>
    <w:rsid w:val="00C74745"/>
    <w:rsid w:val="00C824E8"/>
    <w:rsid w:val="00C85119"/>
    <w:rsid w:val="00C95E8B"/>
    <w:rsid w:val="00CA4706"/>
    <w:rsid w:val="00CD320B"/>
    <w:rsid w:val="00CD3F37"/>
    <w:rsid w:val="00CD5431"/>
    <w:rsid w:val="00CE4B93"/>
    <w:rsid w:val="00CF2491"/>
    <w:rsid w:val="00CF3963"/>
    <w:rsid w:val="00D1252E"/>
    <w:rsid w:val="00D12DA4"/>
    <w:rsid w:val="00D13D9D"/>
    <w:rsid w:val="00D271EF"/>
    <w:rsid w:val="00D459A2"/>
    <w:rsid w:val="00D530FF"/>
    <w:rsid w:val="00D53688"/>
    <w:rsid w:val="00D5407A"/>
    <w:rsid w:val="00D57772"/>
    <w:rsid w:val="00D72AE3"/>
    <w:rsid w:val="00D75A4D"/>
    <w:rsid w:val="00D838DA"/>
    <w:rsid w:val="00D8478B"/>
    <w:rsid w:val="00D86151"/>
    <w:rsid w:val="00D9172D"/>
    <w:rsid w:val="00DA7595"/>
    <w:rsid w:val="00DB0A68"/>
    <w:rsid w:val="00DC43A3"/>
    <w:rsid w:val="00DC4CF3"/>
    <w:rsid w:val="00DC5C01"/>
    <w:rsid w:val="00DD7C09"/>
    <w:rsid w:val="00E0124F"/>
    <w:rsid w:val="00E015B8"/>
    <w:rsid w:val="00E179DC"/>
    <w:rsid w:val="00E456F4"/>
    <w:rsid w:val="00E674D3"/>
    <w:rsid w:val="00E70FD0"/>
    <w:rsid w:val="00E756B7"/>
    <w:rsid w:val="00E77C4B"/>
    <w:rsid w:val="00E800B1"/>
    <w:rsid w:val="00E85DA2"/>
    <w:rsid w:val="00E9301F"/>
    <w:rsid w:val="00E9690A"/>
    <w:rsid w:val="00E97DC7"/>
    <w:rsid w:val="00EA767E"/>
    <w:rsid w:val="00F000EF"/>
    <w:rsid w:val="00F13C81"/>
    <w:rsid w:val="00F2504E"/>
    <w:rsid w:val="00F2585B"/>
    <w:rsid w:val="00F377D0"/>
    <w:rsid w:val="00F4053F"/>
    <w:rsid w:val="00F516E7"/>
    <w:rsid w:val="00F57BF7"/>
    <w:rsid w:val="00F6263E"/>
    <w:rsid w:val="00F627C2"/>
    <w:rsid w:val="00F84067"/>
    <w:rsid w:val="00FA50B4"/>
    <w:rsid w:val="00FC156A"/>
    <w:rsid w:val="00FD6235"/>
    <w:rsid w:val="00FE3DE5"/>
    <w:rsid w:val="00FE3E02"/>
    <w:rsid w:val="00FF0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9D6779-8880-4E35-A482-A13B9425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customStyle="1" w:styleId="enumlev1">
    <w:name w:val="enumlev1"/>
    <w:basedOn w:val="Normal"/>
    <w:link w:val="enumlev1Char"/>
    <w:rsid w:val="00A64F33"/>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Theme="minorEastAsia"/>
      <w:szCs w:val="20"/>
      <w:lang w:val="en-GB"/>
    </w:rPr>
  </w:style>
  <w:style w:type="character" w:customStyle="1" w:styleId="enumlev1Char">
    <w:name w:val="enumlev1 Char"/>
    <w:basedOn w:val="DefaultParagraphFont"/>
    <w:link w:val="enumlev1"/>
    <w:locked/>
    <w:rsid w:val="00A64F33"/>
    <w:rPr>
      <w:rFonts w:eastAsiaTheme="minorEastAsia"/>
      <w:sz w:val="24"/>
      <w:lang w:val="en-GB"/>
    </w:rPr>
  </w:style>
  <w:style w:type="paragraph" w:styleId="NormalWeb">
    <w:name w:val="Normal (Web)"/>
    <w:basedOn w:val="Normal"/>
    <w:uiPriority w:val="99"/>
    <w:semiHidden/>
    <w:unhideWhenUsed/>
    <w:rsid w:val="00FE3E02"/>
    <w:pPr>
      <w:spacing w:before="100" w:beforeAutospacing="1" w:after="100" w:afterAutospacing="1"/>
    </w:pPr>
    <w:rPr>
      <w:rFonts w:eastAsia="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645163329">
      <w:bodyDiv w:val="1"/>
      <w:marLeft w:val="0"/>
      <w:marRight w:val="0"/>
      <w:marTop w:val="0"/>
      <w:marBottom w:val="0"/>
      <w:divBdr>
        <w:top w:val="none" w:sz="0" w:space="0" w:color="auto"/>
        <w:left w:val="none" w:sz="0" w:space="0" w:color="auto"/>
        <w:bottom w:val="none" w:sz="0" w:space="0" w:color="auto"/>
        <w:right w:val="none" w:sz="0" w:space="0" w:color="auto"/>
      </w:divBdr>
    </w:div>
    <w:div w:id="1661498619">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E80B9-9160-41C6-8C51-3F8ADF5D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1158</Words>
  <Characters>6602</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5</cp:revision>
  <cp:lastPrinted>2015-02-02T07:28:00Z</cp:lastPrinted>
  <dcterms:created xsi:type="dcterms:W3CDTF">2017-07-21T05:17:00Z</dcterms:created>
  <dcterms:modified xsi:type="dcterms:W3CDTF">2017-07-24T03:34:00Z</dcterms:modified>
</cp:coreProperties>
</file>