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441526" w14:paraId="73E4C0C3" w14:textId="77777777" w:rsidTr="007D7378">
        <w:trPr>
          <w:cantSplit/>
        </w:trPr>
        <w:tc>
          <w:tcPr>
            <w:tcW w:w="1399" w:type="dxa"/>
            <w:vMerge w:val="restart"/>
          </w:tcPr>
          <w:p w14:paraId="41AAFC28" w14:textId="77777777" w:rsidR="00CF3963" w:rsidRPr="00441526"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441526" w:rsidRDefault="00CF3963" w:rsidP="007D7378">
            <w:r w:rsidRPr="00441526">
              <w:t>ASIA-PACIFIC TELECOMMUNITY</w:t>
            </w:r>
          </w:p>
        </w:tc>
        <w:tc>
          <w:tcPr>
            <w:tcW w:w="2700" w:type="dxa"/>
          </w:tcPr>
          <w:p w14:paraId="0D82F459" w14:textId="139498A7" w:rsidR="00CF3963" w:rsidRPr="00441526" w:rsidRDefault="00CF3963" w:rsidP="007D7378">
            <w:pPr>
              <w:rPr>
                <w:b/>
                <w:bCs/>
                <w:lang w:val="fr-FR"/>
              </w:rPr>
            </w:pPr>
            <w:r w:rsidRPr="00441526">
              <w:rPr>
                <w:b/>
                <w:lang w:val="fr-FR"/>
              </w:rPr>
              <w:t>Document</w:t>
            </w:r>
            <w:r w:rsidR="003F6F0C">
              <w:rPr>
                <w:b/>
                <w:lang w:val="fr-FR"/>
              </w:rPr>
              <w:t xml:space="preserve"> No</w:t>
            </w:r>
            <w:r w:rsidRPr="00441526">
              <w:rPr>
                <w:b/>
                <w:lang w:val="fr-FR"/>
              </w:rPr>
              <w:t xml:space="preserve">: </w:t>
            </w:r>
          </w:p>
        </w:tc>
      </w:tr>
      <w:tr w:rsidR="00CF3963" w:rsidRPr="00441526" w14:paraId="448FBFF1" w14:textId="77777777" w:rsidTr="007D7378">
        <w:trPr>
          <w:cantSplit/>
        </w:trPr>
        <w:tc>
          <w:tcPr>
            <w:tcW w:w="1399" w:type="dxa"/>
            <w:vMerge/>
          </w:tcPr>
          <w:p w14:paraId="29C3EF27" w14:textId="77777777" w:rsidR="00CF3963" w:rsidRPr="00441526" w:rsidRDefault="00CF3963" w:rsidP="007D7378"/>
        </w:tc>
        <w:tc>
          <w:tcPr>
            <w:tcW w:w="5720" w:type="dxa"/>
          </w:tcPr>
          <w:p w14:paraId="5CBA7DD0" w14:textId="3FF17151" w:rsidR="00CF3963" w:rsidRPr="00441526" w:rsidRDefault="00CF3963" w:rsidP="00393DCD">
            <w:pPr>
              <w:spacing w:line="0" w:lineRule="atLeast"/>
            </w:pPr>
            <w:r w:rsidRPr="00441526">
              <w:rPr>
                <w:b/>
              </w:rPr>
              <w:t xml:space="preserve">The </w:t>
            </w:r>
            <w:r w:rsidR="00393DCD" w:rsidRPr="00441526">
              <w:rPr>
                <w:b/>
              </w:rPr>
              <w:t>3r</w:t>
            </w:r>
            <w:r w:rsidRPr="00441526">
              <w:rPr>
                <w:b/>
              </w:rPr>
              <w:t>d Meeting of the APT Conference Preparatory  Group for WRC-19 (APG19-</w:t>
            </w:r>
            <w:r w:rsidR="00393DCD" w:rsidRPr="00441526">
              <w:rPr>
                <w:b/>
              </w:rPr>
              <w:t>3</w:t>
            </w:r>
            <w:r w:rsidRPr="00441526">
              <w:rPr>
                <w:b/>
              </w:rPr>
              <w:t>)</w:t>
            </w:r>
          </w:p>
        </w:tc>
        <w:tc>
          <w:tcPr>
            <w:tcW w:w="2700" w:type="dxa"/>
          </w:tcPr>
          <w:p w14:paraId="79797BCF" w14:textId="346C141B" w:rsidR="00CF3963" w:rsidRPr="00441526" w:rsidRDefault="00F252F4" w:rsidP="00393DCD">
            <w:pPr>
              <w:rPr>
                <w:b/>
                <w:bCs/>
                <w:lang w:val="fr-FR"/>
              </w:rPr>
            </w:pPr>
            <w:r>
              <w:rPr>
                <w:b/>
                <w:bCs/>
                <w:lang w:val="fr-FR"/>
              </w:rPr>
              <w:t>APG19-3/OUT-</w:t>
            </w:r>
            <w:r w:rsidR="002F0769">
              <w:rPr>
                <w:b/>
                <w:bCs/>
                <w:lang w:val="fr-FR"/>
              </w:rPr>
              <w:t>21</w:t>
            </w:r>
          </w:p>
        </w:tc>
      </w:tr>
      <w:tr w:rsidR="00CF3963" w:rsidRPr="00441526" w14:paraId="53A9E6D1" w14:textId="77777777" w:rsidTr="007D7378">
        <w:trPr>
          <w:cantSplit/>
          <w:trHeight w:val="219"/>
        </w:trPr>
        <w:tc>
          <w:tcPr>
            <w:tcW w:w="1399" w:type="dxa"/>
            <w:vMerge/>
          </w:tcPr>
          <w:p w14:paraId="59C3513F" w14:textId="77777777" w:rsidR="00CF3963" w:rsidRPr="00441526" w:rsidRDefault="00CF3963" w:rsidP="007D7378">
            <w:pPr>
              <w:rPr>
                <w:lang w:val="fr-FR"/>
              </w:rPr>
            </w:pPr>
          </w:p>
        </w:tc>
        <w:tc>
          <w:tcPr>
            <w:tcW w:w="5720" w:type="dxa"/>
          </w:tcPr>
          <w:p w14:paraId="3510CFC7" w14:textId="1A3812CF" w:rsidR="00CF3963" w:rsidRPr="00441526" w:rsidRDefault="00CF3963" w:rsidP="00F252F4">
            <w:r w:rsidRPr="00441526">
              <w:t>1</w:t>
            </w:r>
            <w:r w:rsidR="00393DCD" w:rsidRPr="00441526">
              <w:t>2</w:t>
            </w:r>
            <w:r w:rsidRPr="00441526">
              <w:t xml:space="preserve"> – 1</w:t>
            </w:r>
            <w:r w:rsidR="00F252F4">
              <w:t>6</w:t>
            </w:r>
            <w:r w:rsidRPr="00441526">
              <w:t xml:space="preserve"> </w:t>
            </w:r>
            <w:r w:rsidR="00393DCD" w:rsidRPr="00441526">
              <w:t>March</w:t>
            </w:r>
            <w:r w:rsidRPr="00441526">
              <w:t xml:space="preserve"> 201</w:t>
            </w:r>
            <w:r w:rsidR="00393DCD" w:rsidRPr="00441526">
              <w:t>8</w:t>
            </w:r>
            <w:r w:rsidRPr="00441526">
              <w:t xml:space="preserve">, </w:t>
            </w:r>
            <w:r w:rsidR="00393DCD" w:rsidRPr="00441526">
              <w:t>Perth</w:t>
            </w:r>
            <w:r w:rsidRPr="00441526">
              <w:t xml:space="preserve">, </w:t>
            </w:r>
            <w:r w:rsidR="00393DCD" w:rsidRPr="00441526">
              <w:t>Australia</w:t>
            </w:r>
          </w:p>
        </w:tc>
        <w:tc>
          <w:tcPr>
            <w:tcW w:w="2700" w:type="dxa"/>
          </w:tcPr>
          <w:p w14:paraId="60FFE2BA" w14:textId="6537C403" w:rsidR="00CF3963" w:rsidRPr="00441526" w:rsidRDefault="00F96E59" w:rsidP="00F252F4">
            <w:pPr>
              <w:rPr>
                <w:b/>
              </w:rPr>
            </w:pPr>
            <w:r>
              <w:rPr>
                <w:b/>
              </w:rPr>
              <w:t>1</w:t>
            </w:r>
            <w:r w:rsidR="00F252F4">
              <w:rPr>
                <w:b/>
              </w:rPr>
              <w:t>6</w:t>
            </w:r>
            <w:r w:rsidR="00CF3963" w:rsidRPr="00441526">
              <w:rPr>
                <w:b/>
              </w:rPr>
              <w:t xml:space="preserve"> </w:t>
            </w:r>
            <w:r w:rsidR="00393DCD" w:rsidRPr="00441526">
              <w:rPr>
                <w:b/>
              </w:rPr>
              <w:t>March</w:t>
            </w:r>
            <w:r w:rsidR="00CF3963" w:rsidRPr="00441526">
              <w:rPr>
                <w:b/>
              </w:rPr>
              <w:t xml:space="preserve"> 201</w:t>
            </w:r>
            <w:r w:rsidR="00393DCD" w:rsidRPr="00441526">
              <w:rPr>
                <w:b/>
              </w:rPr>
              <w:t>8</w:t>
            </w:r>
          </w:p>
        </w:tc>
      </w:tr>
    </w:tbl>
    <w:p w14:paraId="2E0E673C" w14:textId="77777777" w:rsidR="00D13D9D" w:rsidRPr="00441526" w:rsidRDefault="00D13D9D" w:rsidP="00DA7595">
      <w:pPr>
        <w:rPr>
          <w:lang w:val="en-NZ" w:eastAsia="ko-KR"/>
        </w:rPr>
      </w:pPr>
    </w:p>
    <w:p w14:paraId="7DE0A182" w14:textId="314C1D23" w:rsidR="00311E8A" w:rsidRPr="002F0769" w:rsidRDefault="002F0769" w:rsidP="0072518B">
      <w:pPr>
        <w:jc w:val="center"/>
        <w:rPr>
          <w:lang w:val="en-NZ"/>
        </w:rPr>
      </w:pPr>
      <w:r w:rsidRPr="002F0769">
        <w:rPr>
          <w:lang w:val="en-NZ"/>
        </w:rPr>
        <w:t>Working Party 5</w:t>
      </w:r>
    </w:p>
    <w:p w14:paraId="2E0E6745" w14:textId="77777777" w:rsidR="00B64A60" w:rsidRPr="00441526" w:rsidRDefault="00B64A60" w:rsidP="00B64A60">
      <w:pPr>
        <w:jc w:val="center"/>
        <w:rPr>
          <w:b/>
          <w:bCs/>
          <w:caps/>
          <w:lang w:val="en-NZ"/>
        </w:rPr>
      </w:pPr>
    </w:p>
    <w:p w14:paraId="2E0E6746" w14:textId="4EBAC4B2" w:rsidR="00B64A60" w:rsidRPr="00441526" w:rsidRDefault="00B64A60" w:rsidP="00B64A60">
      <w:pPr>
        <w:jc w:val="center"/>
        <w:rPr>
          <w:b/>
          <w:bCs/>
          <w:caps/>
          <w:lang w:val="en-NZ"/>
        </w:rPr>
      </w:pPr>
      <w:r w:rsidRPr="00441526">
        <w:rPr>
          <w:b/>
          <w:bCs/>
          <w:caps/>
          <w:lang w:val="en-NZ"/>
        </w:rPr>
        <w:t xml:space="preserve">PRELIMINARY </w:t>
      </w:r>
      <w:r w:rsidR="003679D3">
        <w:rPr>
          <w:b/>
          <w:bCs/>
          <w:caps/>
          <w:lang w:val="en-NZ"/>
        </w:rPr>
        <w:t>VIEWs on WRC-19 agenda item 1.1</w:t>
      </w:r>
    </w:p>
    <w:p w14:paraId="2E0E6747" w14:textId="77777777" w:rsidR="00B64A60" w:rsidRPr="00441526" w:rsidRDefault="00B64A60" w:rsidP="00264566">
      <w:pPr>
        <w:spacing w:after="120"/>
        <w:rPr>
          <w:lang w:val="en-NZ"/>
        </w:rPr>
      </w:pPr>
    </w:p>
    <w:p w14:paraId="2E0E6748" w14:textId="5BCD84E6" w:rsidR="00B64A60" w:rsidRPr="00441526" w:rsidRDefault="003679D3" w:rsidP="00264566">
      <w:pPr>
        <w:spacing w:after="120"/>
        <w:jc w:val="both"/>
        <w:rPr>
          <w:lang w:val="en-NZ"/>
        </w:rPr>
      </w:pPr>
      <w:r>
        <w:rPr>
          <w:b/>
          <w:lang w:val="en-NZ"/>
        </w:rPr>
        <w:t>Agenda Item 1.1</w:t>
      </w:r>
      <w:r w:rsidR="00B64A60" w:rsidRPr="00441526">
        <w:rPr>
          <w:b/>
          <w:lang w:val="en-NZ"/>
        </w:rPr>
        <w:t xml:space="preserve">: </w:t>
      </w:r>
    </w:p>
    <w:p w14:paraId="79B36A00" w14:textId="77777777" w:rsidR="00AF7685" w:rsidRDefault="00AF7685" w:rsidP="00AF7685">
      <w:pPr>
        <w:spacing w:after="100" w:afterAutospacing="1"/>
        <w:rPr>
          <w:rFonts w:eastAsiaTheme="minorEastAsia"/>
          <w:b/>
          <w:i/>
          <w:lang w:bidi="en-US"/>
        </w:rPr>
      </w:pPr>
      <w:proofErr w:type="gramStart"/>
      <w:r>
        <w:rPr>
          <w:rFonts w:eastAsiaTheme="minorEastAsia"/>
          <w:i/>
          <w:lang w:bidi="en-US"/>
        </w:rPr>
        <w:t>to</w:t>
      </w:r>
      <w:proofErr w:type="gramEnd"/>
      <w:r>
        <w:rPr>
          <w:rFonts w:eastAsiaTheme="minorEastAsia"/>
          <w:i/>
          <w:lang w:bidi="en-US"/>
        </w:rPr>
        <w:t xml:space="preserve"> consider an allocation of the frequency band 50-54 MHz to the amateur service in Region 1, in accordance with Resolution </w:t>
      </w:r>
      <w:r>
        <w:rPr>
          <w:rFonts w:eastAsiaTheme="minorEastAsia"/>
          <w:b/>
          <w:i/>
          <w:lang w:bidi="en-US"/>
        </w:rPr>
        <w:t>658 (WRC</w:t>
      </w:r>
      <w:r>
        <w:rPr>
          <w:rFonts w:eastAsiaTheme="minorEastAsia"/>
          <w:b/>
          <w:i/>
          <w:lang w:bidi="en-US"/>
        </w:rPr>
        <w:noBreakHyphen/>
        <w:t>15)</w:t>
      </w:r>
    </w:p>
    <w:p w14:paraId="2E0E674B" w14:textId="0B9C1E33" w:rsidR="00B64A60" w:rsidRPr="00441526" w:rsidRDefault="00B64A60" w:rsidP="00B64A60">
      <w:pPr>
        <w:spacing w:after="120"/>
        <w:jc w:val="both"/>
        <w:rPr>
          <w:b/>
          <w:lang w:val="en-NZ" w:eastAsia="ko-KR"/>
        </w:rPr>
      </w:pPr>
      <w:r w:rsidRPr="00441526">
        <w:rPr>
          <w:b/>
          <w:lang w:val="en-NZ" w:eastAsia="ko-KR"/>
        </w:rPr>
        <w:t xml:space="preserve">1. </w:t>
      </w:r>
      <w:r w:rsidRPr="00441526">
        <w:rPr>
          <w:b/>
          <w:lang w:val="en-NZ" w:eastAsia="ko-KR"/>
        </w:rPr>
        <w:tab/>
        <w:t>Background</w:t>
      </w:r>
    </w:p>
    <w:p w14:paraId="2E0E6751" w14:textId="77777777" w:rsidR="00B64A60" w:rsidRDefault="00B64A60" w:rsidP="00B64A60">
      <w:pPr>
        <w:jc w:val="both"/>
        <w:rPr>
          <w:lang w:val="en-NZ"/>
        </w:rPr>
      </w:pPr>
    </w:p>
    <w:p w14:paraId="43B9BF79" w14:textId="77777777" w:rsidR="00BA6A5D" w:rsidRPr="0028602C" w:rsidRDefault="00BA6A5D" w:rsidP="00BA6A5D">
      <w:pPr>
        <w:spacing w:afterLines="60" w:after="144"/>
        <w:jc w:val="both"/>
        <w:rPr>
          <w:color w:val="000000" w:themeColor="text1"/>
        </w:rPr>
      </w:pPr>
      <w:r w:rsidRPr="0028602C">
        <w:rPr>
          <w:rFonts w:hint="eastAsia"/>
          <w:color w:val="000000" w:themeColor="text1"/>
          <w:lang w:eastAsia="ko-KR"/>
        </w:rPr>
        <w:t xml:space="preserve">Resolution </w:t>
      </w:r>
      <w:r w:rsidRPr="0028602C">
        <w:rPr>
          <w:b/>
          <w:color w:val="000000" w:themeColor="text1"/>
          <w:lang w:eastAsia="ko-KR"/>
        </w:rPr>
        <w:t>658 (WRC-15)</w:t>
      </w:r>
      <w:r w:rsidRPr="0028602C">
        <w:rPr>
          <w:color w:val="000000" w:themeColor="text1"/>
          <w:lang w:eastAsia="ko-KR"/>
        </w:rPr>
        <w:t xml:space="preserve"> resolves to invite </w:t>
      </w:r>
      <w:r w:rsidRPr="0028602C">
        <w:rPr>
          <w:rFonts w:hint="eastAsia"/>
          <w:color w:val="000000" w:themeColor="text1"/>
          <w:lang w:eastAsia="ko-KR"/>
        </w:rPr>
        <w:t>ITU-R</w:t>
      </w:r>
      <w:r w:rsidRPr="0028602C">
        <w:rPr>
          <w:color w:val="000000" w:themeColor="text1"/>
          <w:lang w:eastAsia="ko-KR"/>
        </w:rPr>
        <w:t>:</w:t>
      </w:r>
      <w:r w:rsidRPr="0028602C">
        <w:rPr>
          <w:rFonts w:hint="eastAsia"/>
          <w:color w:val="000000" w:themeColor="text1"/>
          <w:lang w:eastAsia="ko-KR"/>
        </w:rPr>
        <w:t xml:space="preserve"> </w:t>
      </w:r>
    </w:p>
    <w:p w14:paraId="47F34AB7" w14:textId="77777777" w:rsidR="00BA6A5D" w:rsidRPr="0028602C" w:rsidRDefault="00BA6A5D" w:rsidP="00BA6A5D">
      <w:pPr>
        <w:pStyle w:val="ListParagraph"/>
        <w:numPr>
          <w:ilvl w:val="0"/>
          <w:numId w:val="28"/>
        </w:numPr>
        <w:spacing w:afterLines="60" w:after="144"/>
        <w:jc w:val="both"/>
        <w:rPr>
          <w:color w:val="000000" w:themeColor="text1"/>
          <w:lang w:val="en-GB"/>
        </w:rPr>
      </w:pPr>
      <w:r w:rsidRPr="0028602C">
        <w:rPr>
          <w:color w:val="000000" w:themeColor="text1"/>
          <w:lang w:val="en-GB"/>
        </w:rPr>
        <w:t>to study spectrum needs in Region</w:t>
      </w:r>
      <w:r w:rsidRPr="0028602C">
        <w:rPr>
          <w:rFonts w:hint="eastAsia"/>
          <w:color w:val="000000" w:themeColor="text1"/>
          <w:lang w:val="en-GB" w:eastAsia="ko-KR"/>
        </w:rPr>
        <w:t xml:space="preserve"> </w:t>
      </w:r>
      <w:r w:rsidRPr="0028602C">
        <w:rPr>
          <w:color w:val="000000" w:themeColor="text1"/>
          <w:lang w:val="en-GB"/>
        </w:rPr>
        <w:t>1 for the amateur service in the frequency band 50</w:t>
      </w:r>
      <w:r w:rsidRPr="0028602C">
        <w:rPr>
          <w:color w:val="000000" w:themeColor="text1"/>
          <w:lang w:val="en-GB"/>
        </w:rPr>
        <w:noBreakHyphen/>
        <w:t>54</w:t>
      </w:r>
      <w:r w:rsidRPr="0028602C">
        <w:rPr>
          <w:rFonts w:hint="eastAsia"/>
          <w:color w:val="000000" w:themeColor="text1"/>
          <w:lang w:val="en-GB" w:eastAsia="ko-KR"/>
        </w:rPr>
        <w:t xml:space="preserve"> </w:t>
      </w:r>
      <w:r w:rsidRPr="0028602C">
        <w:rPr>
          <w:color w:val="000000" w:themeColor="text1"/>
          <w:lang w:val="en-GB"/>
        </w:rPr>
        <w:t>MHz;</w:t>
      </w:r>
    </w:p>
    <w:p w14:paraId="5B862C70" w14:textId="77777777" w:rsidR="00BA6A5D" w:rsidRPr="0028602C" w:rsidRDefault="00BA6A5D" w:rsidP="00BA6A5D">
      <w:pPr>
        <w:pStyle w:val="ListParagraph"/>
        <w:numPr>
          <w:ilvl w:val="0"/>
          <w:numId w:val="28"/>
        </w:numPr>
        <w:spacing w:afterLines="60" w:after="144"/>
        <w:jc w:val="both"/>
        <w:rPr>
          <w:color w:val="000000" w:themeColor="text1"/>
        </w:rPr>
      </w:pPr>
      <w:proofErr w:type="gramStart"/>
      <w:r w:rsidRPr="0028602C">
        <w:rPr>
          <w:color w:val="000000" w:themeColor="text1"/>
          <w:lang w:val="en-GB"/>
        </w:rPr>
        <w:t>taking</w:t>
      </w:r>
      <w:proofErr w:type="gramEnd"/>
      <w:r w:rsidRPr="0028602C">
        <w:rPr>
          <w:color w:val="000000" w:themeColor="text1"/>
          <w:lang w:val="en-GB"/>
        </w:rPr>
        <w:t xml:space="preserve"> into account the results of the above studies, to study sharing between the amateur service and the mobile, fixed, radiolocation and broadcasting services, in order to ensure protection of these services.</w:t>
      </w:r>
    </w:p>
    <w:p w14:paraId="4563BC59" w14:textId="77777777" w:rsidR="00BA6A5D" w:rsidRDefault="00BA6A5D" w:rsidP="00BA6A5D">
      <w:pPr>
        <w:spacing w:afterLines="60" w:after="144"/>
        <w:jc w:val="both"/>
        <w:rPr>
          <w:color w:val="000000" w:themeColor="text1"/>
        </w:rPr>
      </w:pPr>
      <w:r w:rsidRPr="0028602C">
        <w:rPr>
          <w:color w:val="000000" w:themeColor="text1"/>
        </w:rPr>
        <w:t>The frequency band 50-54 MHz is already allocated to the amateur service on a primary basis in Region 2 and Region 3</w:t>
      </w:r>
      <w:r w:rsidRPr="0028602C">
        <w:rPr>
          <w:rFonts w:hint="eastAsia"/>
          <w:color w:val="000000" w:themeColor="text1"/>
          <w:lang w:eastAsia="ko-KR"/>
        </w:rPr>
        <w:t xml:space="preserve">. </w:t>
      </w:r>
      <w:r w:rsidRPr="006E630E">
        <w:rPr>
          <w:color w:val="000000" w:themeColor="text1"/>
          <w:lang w:eastAsia="ko-KR"/>
        </w:rPr>
        <w:t>In Region 1 t</w:t>
      </w:r>
      <w:r w:rsidRPr="006E630E">
        <w:rPr>
          <w:color w:val="000000" w:themeColor="text1"/>
        </w:rPr>
        <w:t>he frequency band is allocated to the Broadcasting service on a primary basis with additional or alternative allocations to the Amateur, Fixed, Mobile, and/or Radiolocation (limited to wind profiler radars) services in some countries.</w:t>
      </w:r>
    </w:p>
    <w:p w14:paraId="1E3D7F3F" w14:textId="77777777" w:rsidR="00BA6A5D" w:rsidRPr="006E630E" w:rsidRDefault="00BA6A5D" w:rsidP="00BA6A5D">
      <w:pPr>
        <w:keepLines/>
        <w:jc w:val="both"/>
        <w:rPr>
          <w:color w:val="000000" w:themeColor="text1"/>
        </w:rPr>
      </w:pPr>
      <w:r w:rsidRPr="006E630E">
        <w:rPr>
          <w:color w:val="000000" w:themeColor="text1"/>
        </w:rPr>
        <w:t xml:space="preserve">Full or partial worldwide harmonization of the allocation to the Amateur service in the frequency band 50-54 MHz would promote global efficiency and economies of scale </w:t>
      </w:r>
      <w:r>
        <w:rPr>
          <w:color w:val="000000" w:themeColor="text1"/>
        </w:rPr>
        <w:t xml:space="preserve">in fulfilling </w:t>
      </w:r>
      <w:r w:rsidRPr="006E630E">
        <w:rPr>
          <w:color w:val="000000" w:themeColor="text1"/>
        </w:rPr>
        <w:t>the purposes of the</w:t>
      </w:r>
      <w:r>
        <w:rPr>
          <w:color w:val="000000" w:themeColor="text1"/>
        </w:rPr>
        <w:t xml:space="preserve"> Amateur service and </w:t>
      </w:r>
      <w:r w:rsidRPr="006E630E">
        <w:rPr>
          <w:color w:val="000000" w:themeColor="text1"/>
        </w:rPr>
        <w:t>advance technical education, develop radio operating technique, and enhance international goodwill.</w:t>
      </w:r>
      <w:r>
        <w:rPr>
          <w:color w:val="000000" w:themeColor="text1"/>
        </w:rPr>
        <w:t xml:space="preserve"> </w:t>
      </w:r>
    </w:p>
    <w:p w14:paraId="3847505B" w14:textId="77777777" w:rsidR="00BA6A5D" w:rsidRPr="006E630E" w:rsidRDefault="00BA6A5D" w:rsidP="00BA6A5D">
      <w:pPr>
        <w:keepLines/>
        <w:jc w:val="both"/>
        <w:rPr>
          <w:color w:val="000000" w:themeColor="text1"/>
        </w:rPr>
      </w:pPr>
    </w:p>
    <w:p w14:paraId="22E27CF1" w14:textId="77777777" w:rsidR="00BA6A5D" w:rsidRPr="006E630E" w:rsidRDefault="00BA6A5D" w:rsidP="00BA6A5D">
      <w:pPr>
        <w:keepLines/>
        <w:jc w:val="both"/>
        <w:rPr>
          <w:color w:val="000000" w:themeColor="text1"/>
        </w:rPr>
      </w:pPr>
      <w:r w:rsidRPr="006E630E">
        <w:rPr>
          <w:rFonts w:eastAsia="Times New Roman"/>
          <w:color w:val="000000" w:themeColor="text1"/>
          <w:lang w:bidi="en-US"/>
        </w:rPr>
        <w:t>The frequency range 30-80 MHz is a transition area between ionospheric and non-ionospheric radio propagation modes, which makes it particularly interesting for experimentation and study with the amateur service. Band alignment with Region 2 and 3 would facilitate the general understanding and prediction of propagation events as data accumulates and more Region 1 administrations grant their amateur licensees access to spectrum in the 50</w:t>
      </w:r>
      <w:r w:rsidRPr="006E630E">
        <w:rPr>
          <w:rFonts w:eastAsia="Times New Roman"/>
          <w:color w:val="000000" w:themeColor="text1"/>
          <w:lang w:bidi="en-US"/>
        </w:rPr>
        <w:noBreakHyphen/>
        <w:t>54 MHz frequency band.</w:t>
      </w:r>
    </w:p>
    <w:p w14:paraId="1640672E" w14:textId="77777777" w:rsidR="001D7040" w:rsidRDefault="001D7040" w:rsidP="00BA6A5D">
      <w:pPr>
        <w:spacing w:afterLines="60" w:after="144"/>
        <w:jc w:val="both"/>
        <w:rPr>
          <w:color w:val="000000" w:themeColor="text1"/>
          <w:lang w:eastAsia="ko-KR"/>
        </w:rPr>
      </w:pPr>
    </w:p>
    <w:p w14:paraId="58BEE0BF" w14:textId="2614BFB7" w:rsidR="00BA6A5D" w:rsidRDefault="00BA6A5D" w:rsidP="00BA6A5D">
      <w:pPr>
        <w:spacing w:afterLines="60" w:after="144"/>
        <w:jc w:val="both"/>
        <w:rPr>
          <w:color w:val="000000" w:themeColor="text1"/>
          <w:lang w:eastAsia="ko-KR"/>
        </w:rPr>
      </w:pPr>
      <w:r>
        <w:rPr>
          <w:rFonts w:hint="eastAsia"/>
          <w:color w:val="000000" w:themeColor="text1"/>
          <w:lang w:eastAsia="ko-KR"/>
        </w:rPr>
        <w:t>ITU-R Working Party (WP) 5A</w:t>
      </w:r>
      <w:r>
        <w:rPr>
          <w:color w:val="000000" w:themeColor="text1"/>
          <w:lang w:eastAsia="ko-KR"/>
        </w:rPr>
        <w:t xml:space="preserve"> which is identified as the responsible group for Agenda Item 1.1</w:t>
      </w:r>
      <w:r>
        <w:rPr>
          <w:rFonts w:hint="eastAsia"/>
          <w:color w:val="000000" w:themeColor="text1"/>
          <w:lang w:eastAsia="ko-KR"/>
        </w:rPr>
        <w:t xml:space="preserve"> has </w:t>
      </w:r>
      <w:r>
        <w:rPr>
          <w:color w:val="000000" w:themeColor="text1"/>
          <w:lang w:eastAsia="ko-KR"/>
        </w:rPr>
        <w:t>developed</w:t>
      </w:r>
      <w:r>
        <w:rPr>
          <w:rFonts w:hint="eastAsia"/>
          <w:color w:val="000000" w:themeColor="text1"/>
          <w:lang w:eastAsia="ko-KR"/>
        </w:rPr>
        <w:t xml:space="preserve"> </w:t>
      </w:r>
      <w:r>
        <w:rPr>
          <w:color w:val="000000" w:themeColor="text1"/>
          <w:lang w:eastAsia="ko-KR"/>
        </w:rPr>
        <w:t xml:space="preserve">a working document toward preliminary draft new </w:t>
      </w:r>
      <w:hyperlink r:id="rId9" w:history="1">
        <w:r w:rsidRPr="00DE6735">
          <w:rPr>
            <w:rStyle w:val="Hyperlink"/>
            <w:lang w:eastAsia="ko-KR"/>
          </w:rPr>
          <w:t xml:space="preserve">Report ITU-R </w:t>
        </w:r>
        <w:r w:rsidRPr="00DE6735">
          <w:rPr>
            <w:rStyle w:val="Hyperlink"/>
            <w:rFonts w:hint="eastAsia"/>
            <w:lang w:eastAsia="ko-KR"/>
          </w:rPr>
          <w:t>M.[AMATEUR_50_</w:t>
        </w:r>
        <w:r w:rsidRPr="00DE6735">
          <w:rPr>
            <w:rStyle w:val="Hyperlink"/>
            <w:lang w:eastAsia="ko-KR"/>
          </w:rPr>
          <w:t>MHz</w:t>
        </w:r>
        <w:r w:rsidRPr="00DE6735">
          <w:rPr>
            <w:rStyle w:val="Hyperlink"/>
            <w:rFonts w:hint="eastAsia"/>
            <w:lang w:eastAsia="ko-KR"/>
          </w:rPr>
          <w:t>]</w:t>
        </w:r>
      </w:hyperlink>
      <w:r>
        <w:rPr>
          <w:color w:val="000000" w:themeColor="text1"/>
          <w:lang w:eastAsia="ko-KR"/>
        </w:rPr>
        <w:t xml:space="preserve"> “S</w:t>
      </w:r>
      <w:r w:rsidRPr="001A3A5A">
        <w:rPr>
          <w:color w:val="000000" w:themeColor="text1"/>
          <w:lang w:eastAsia="ko-KR"/>
        </w:rPr>
        <w:t>pectrum needs for the amateur service in the frequency band 50-54 MHz in Region 1 and sharing with mobile fixed, radiolocation, and broadcasting services</w:t>
      </w:r>
      <w:r>
        <w:rPr>
          <w:color w:val="000000" w:themeColor="text1"/>
          <w:lang w:eastAsia="ko-KR"/>
        </w:rPr>
        <w:t xml:space="preserve">”. </w:t>
      </w:r>
    </w:p>
    <w:p w14:paraId="20833B48" w14:textId="36F5D344" w:rsidR="00BA6A5D" w:rsidRPr="00B42A48" w:rsidRDefault="00BA6A5D" w:rsidP="00BA6A5D">
      <w:pPr>
        <w:spacing w:before="120"/>
        <w:jc w:val="both"/>
      </w:pPr>
      <w:r w:rsidRPr="00693C7A">
        <w:t xml:space="preserve">Sharing studies between </w:t>
      </w:r>
      <w:r w:rsidR="00693C7A" w:rsidRPr="00693C7A">
        <w:t xml:space="preserve">the </w:t>
      </w:r>
      <w:r w:rsidRPr="00693C7A">
        <w:t xml:space="preserve">amateur service and existing services in the frequency band 50 </w:t>
      </w:r>
      <w:r w:rsidR="00693C7A" w:rsidRPr="00693C7A">
        <w:t xml:space="preserve">– 54 MHz are underway with </w:t>
      </w:r>
      <w:r w:rsidRPr="00693C7A">
        <w:t xml:space="preserve">progress being made. Agreement has been reached on key parameters and methods to be used for sharing studies and spectrum needs calculations, while some details and numerical values are yet to be determined. </w:t>
      </w:r>
      <w:r w:rsidRPr="00693C7A">
        <w:rPr>
          <w:color w:val="000000" w:themeColor="text1"/>
          <w:lang w:eastAsia="ko-KR"/>
        </w:rPr>
        <w:t>A need of 4 MHz</w:t>
      </w:r>
      <w:r w:rsidR="00693C7A" w:rsidRPr="00693C7A">
        <w:rPr>
          <w:color w:val="000000" w:themeColor="text1"/>
          <w:lang w:eastAsia="ko-KR"/>
        </w:rPr>
        <w:t xml:space="preserve"> of</w:t>
      </w:r>
      <w:r w:rsidRPr="00693C7A">
        <w:rPr>
          <w:color w:val="000000" w:themeColor="text1"/>
          <w:lang w:eastAsia="ko-KR"/>
        </w:rPr>
        <w:t xml:space="preserve"> spectrum for </w:t>
      </w:r>
      <w:r w:rsidRPr="00693C7A">
        <w:t xml:space="preserve">radio amateur </w:t>
      </w:r>
      <w:r w:rsidRPr="00693C7A">
        <w:lastRenderedPageBreak/>
        <w:t>usage in Region 1 is shown.</w:t>
      </w:r>
      <w:r w:rsidR="00DE6735" w:rsidRPr="00693C7A">
        <w:t xml:space="preserve"> Preliminary </w:t>
      </w:r>
      <w:hyperlink r:id="rId10" w:history="1">
        <w:r w:rsidR="00DE6735" w:rsidRPr="00693C7A">
          <w:rPr>
            <w:rStyle w:val="Hyperlink"/>
          </w:rPr>
          <w:t>draft CPM text for agenda item 1.1</w:t>
        </w:r>
      </w:hyperlink>
      <w:r w:rsidR="00DE6735" w:rsidRPr="00693C7A">
        <w:t xml:space="preserve"> has been developed and will be refined in upcoming WP5A meetings.</w:t>
      </w:r>
    </w:p>
    <w:p w14:paraId="5C96CEAA" w14:textId="77777777" w:rsidR="00BA6A5D" w:rsidRDefault="00BA6A5D" w:rsidP="00BA6A5D">
      <w:pPr>
        <w:spacing w:afterLines="60" w:after="144"/>
        <w:jc w:val="both"/>
      </w:pPr>
    </w:p>
    <w:p w14:paraId="7D9EE5CB" w14:textId="77777777" w:rsidR="00031CAE" w:rsidRDefault="00031CAE" w:rsidP="00BA6A5D">
      <w:pPr>
        <w:spacing w:afterLines="60" w:after="144"/>
        <w:jc w:val="both"/>
      </w:pPr>
    </w:p>
    <w:p w14:paraId="2E0E6752" w14:textId="77777777" w:rsidR="00B64A60" w:rsidRPr="00441526" w:rsidRDefault="00B64A60" w:rsidP="00B64A60">
      <w:pPr>
        <w:spacing w:after="120"/>
        <w:jc w:val="both"/>
        <w:rPr>
          <w:b/>
          <w:lang w:val="en-NZ" w:eastAsia="ko-KR"/>
        </w:rPr>
      </w:pPr>
      <w:r w:rsidRPr="00441526">
        <w:rPr>
          <w:b/>
          <w:lang w:val="en-NZ" w:eastAsia="ko-KR"/>
        </w:rPr>
        <w:t xml:space="preserve">2. </w:t>
      </w:r>
      <w:r w:rsidRPr="00441526">
        <w:rPr>
          <w:b/>
          <w:lang w:val="en-NZ" w:eastAsia="ko-KR"/>
        </w:rPr>
        <w:tab/>
        <w:t>Documents</w:t>
      </w:r>
    </w:p>
    <w:p w14:paraId="30166DB8" w14:textId="6CA7A256" w:rsidR="0049492F" w:rsidRDefault="0049492F" w:rsidP="00B64A60">
      <w:pPr>
        <w:numPr>
          <w:ilvl w:val="0"/>
          <w:numId w:val="18"/>
        </w:numPr>
        <w:ind w:leftChars="145" w:left="708"/>
        <w:rPr>
          <w:lang w:val="en-NZ"/>
        </w:rPr>
      </w:pPr>
      <w:r>
        <w:rPr>
          <w:lang w:val="en-NZ"/>
        </w:rPr>
        <w:t xml:space="preserve">Input Documents: </w:t>
      </w:r>
      <w:r w:rsidRPr="0049492F">
        <w:rPr>
          <w:lang w:val="en-NZ" w:eastAsia="ko-KR"/>
        </w:rPr>
        <w:t>APG19-3/INP-25 (KOR), APG19-3/INP-32 (IRN), APG19-3/INP-45 (AUS), APG19-3/I</w:t>
      </w:r>
      <w:r w:rsidR="007074AC">
        <w:rPr>
          <w:lang w:val="en-NZ" w:eastAsia="ko-KR"/>
        </w:rPr>
        <w:t>NP-53 (J), APG19-3/INP-80 (INS</w:t>
      </w:r>
      <w:r w:rsidRPr="0049492F">
        <w:rPr>
          <w:lang w:val="en-NZ" w:eastAsia="ko-KR"/>
        </w:rPr>
        <w:t xml:space="preserve">), APG19-3/INP-85 (VTN) </w:t>
      </w:r>
    </w:p>
    <w:p w14:paraId="4860FBD2" w14:textId="265C6AB7" w:rsidR="0049492F" w:rsidRPr="0049492F" w:rsidRDefault="0049492F" w:rsidP="00B64A60">
      <w:pPr>
        <w:numPr>
          <w:ilvl w:val="0"/>
          <w:numId w:val="18"/>
        </w:numPr>
        <w:ind w:leftChars="145" w:left="708"/>
        <w:rPr>
          <w:lang w:val="en-NZ"/>
        </w:rPr>
      </w:pPr>
      <w:r w:rsidRPr="00441526">
        <w:rPr>
          <w:lang w:val="en-NZ"/>
        </w:rPr>
        <w:t>Information Documents</w:t>
      </w:r>
      <w:r>
        <w:rPr>
          <w:lang w:val="en-NZ"/>
        </w:rPr>
        <w:t xml:space="preserve">: </w:t>
      </w:r>
      <w:r w:rsidRPr="0049492F">
        <w:rPr>
          <w:bCs/>
          <w:lang w:val="fr-FR"/>
        </w:rPr>
        <w:t>APG19-</w:t>
      </w:r>
      <w:r w:rsidRPr="0049492F">
        <w:rPr>
          <w:rFonts w:eastAsiaTheme="minorEastAsia"/>
          <w:bCs/>
          <w:lang w:val="fr-FR" w:eastAsia="ja-JP"/>
        </w:rPr>
        <w:t>3</w:t>
      </w:r>
      <w:r w:rsidRPr="0049492F">
        <w:rPr>
          <w:bCs/>
          <w:lang w:val="fr-FR"/>
        </w:rPr>
        <w:t>/IN</w:t>
      </w:r>
      <w:r w:rsidRPr="0049492F">
        <w:rPr>
          <w:rFonts w:eastAsiaTheme="minorEastAsia"/>
          <w:bCs/>
          <w:lang w:val="fr-FR" w:eastAsia="ja-JP"/>
        </w:rPr>
        <w:t>F</w:t>
      </w:r>
      <w:r w:rsidRPr="0049492F">
        <w:rPr>
          <w:bCs/>
          <w:lang w:val="fr-FR"/>
        </w:rPr>
        <w:t>-</w:t>
      </w:r>
      <w:r w:rsidRPr="0049492F">
        <w:rPr>
          <w:rFonts w:eastAsiaTheme="minorEastAsia"/>
          <w:bCs/>
          <w:lang w:val="fr-FR" w:eastAsia="ja-JP"/>
        </w:rPr>
        <w:t xml:space="preserve">06 (CEPT), </w:t>
      </w:r>
      <w:r w:rsidRPr="0049492F">
        <w:rPr>
          <w:bCs/>
          <w:lang w:val="fr-FR"/>
        </w:rPr>
        <w:t>APG19-</w:t>
      </w:r>
      <w:r w:rsidRPr="0049492F">
        <w:rPr>
          <w:rFonts w:eastAsiaTheme="minorEastAsia"/>
          <w:bCs/>
          <w:lang w:val="fr-FR" w:eastAsia="ja-JP"/>
        </w:rPr>
        <w:t>3</w:t>
      </w:r>
      <w:r w:rsidRPr="0049492F">
        <w:rPr>
          <w:bCs/>
          <w:lang w:val="fr-FR"/>
        </w:rPr>
        <w:t>/IN</w:t>
      </w:r>
      <w:r w:rsidRPr="0049492F">
        <w:rPr>
          <w:rFonts w:eastAsiaTheme="minorEastAsia"/>
          <w:bCs/>
          <w:lang w:val="fr-FR" w:eastAsia="ja-JP"/>
        </w:rPr>
        <w:t>F</w:t>
      </w:r>
      <w:r w:rsidRPr="0049492F">
        <w:rPr>
          <w:bCs/>
          <w:lang w:val="fr-FR"/>
        </w:rPr>
        <w:t>-</w:t>
      </w:r>
      <w:r w:rsidRPr="0049492F">
        <w:rPr>
          <w:rFonts w:eastAsiaTheme="minorEastAsia"/>
          <w:bCs/>
          <w:lang w:val="fr-FR" w:eastAsia="ja-JP"/>
        </w:rPr>
        <w:t xml:space="preserve">08 R1 (CITEL), </w:t>
      </w:r>
      <w:r w:rsidRPr="0049492F">
        <w:rPr>
          <w:bCs/>
          <w:lang w:val="fr-FR"/>
        </w:rPr>
        <w:t>APG19-</w:t>
      </w:r>
      <w:r w:rsidRPr="0049492F">
        <w:rPr>
          <w:rFonts w:eastAsiaTheme="minorEastAsia"/>
          <w:bCs/>
          <w:lang w:val="fr-FR" w:eastAsia="ja-JP"/>
        </w:rPr>
        <w:t>3</w:t>
      </w:r>
      <w:r w:rsidRPr="0049492F">
        <w:rPr>
          <w:bCs/>
          <w:lang w:val="fr-FR"/>
        </w:rPr>
        <w:t>/IN</w:t>
      </w:r>
      <w:r w:rsidRPr="0049492F">
        <w:rPr>
          <w:rFonts w:eastAsiaTheme="minorEastAsia"/>
          <w:bCs/>
          <w:lang w:val="fr-FR" w:eastAsia="ja-JP"/>
        </w:rPr>
        <w:t>F</w:t>
      </w:r>
      <w:r w:rsidRPr="0049492F">
        <w:rPr>
          <w:bCs/>
          <w:lang w:val="fr-FR"/>
        </w:rPr>
        <w:t>-</w:t>
      </w:r>
      <w:r w:rsidRPr="0049492F">
        <w:rPr>
          <w:rFonts w:eastAsiaTheme="minorEastAsia"/>
          <w:bCs/>
          <w:lang w:val="fr-FR" w:eastAsia="ja-JP"/>
        </w:rPr>
        <w:t>09 (IARU)</w:t>
      </w:r>
    </w:p>
    <w:p w14:paraId="0AF8F221" w14:textId="667A0EDE" w:rsidR="00B56099" w:rsidRPr="00441526" w:rsidRDefault="00B56099">
      <w:pPr>
        <w:rPr>
          <w:b/>
          <w:lang w:val="en-NZ" w:eastAsia="ko-KR"/>
        </w:rPr>
      </w:pPr>
    </w:p>
    <w:p w14:paraId="730B7535" w14:textId="199C7049" w:rsidR="00F9578E" w:rsidRPr="00441526" w:rsidRDefault="00B64A60" w:rsidP="00B64A60">
      <w:pPr>
        <w:spacing w:after="120"/>
        <w:jc w:val="both"/>
        <w:rPr>
          <w:b/>
          <w:lang w:val="en-NZ" w:eastAsia="ko-KR"/>
        </w:rPr>
      </w:pPr>
      <w:r w:rsidRPr="00441526">
        <w:rPr>
          <w:b/>
          <w:lang w:val="en-NZ" w:eastAsia="ko-KR"/>
        </w:rPr>
        <w:t xml:space="preserve">3. </w:t>
      </w:r>
      <w:r w:rsidRPr="00441526">
        <w:rPr>
          <w:b/>
          <w:lang w:val="en-NZ" w:eastAsia="ko-KR"/>
        </w:rPr>
        <w:tab/>
        <w:t xml:space="preserve">Summary of </w:t>
      </w:r>
      <w:r w:rsidR="00DF0EB4" w:rsidRPr="00441526">
        <w:rPr>
          <w:b/>
          <w:lang w:val="en-NZ" w:eastAsia="ko-KR"/>
        </w:rPr>
        <w:t>d</w:t>
      </w:r>
      <w:r w:rsidRPr="00441526">
        <w:rPr>
          <w:b/>
          <w:lang w:val="en-NZ" w:eastAsia="ko-KR"/>
        </w:rPr>
        <w:t>iscussions</w:t>
      </w:r>
    </w:p>
    <w:p w14:paraId="304F9937" w14:textId="3821F271" w:rsidR="004A2F96" w:rsidRPr="00441526" w:rsidRDefault="004A2F96" w:rsidP="00B64A6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 xml:space="preserve">of </w:t>
      </w:r>
      <w:r w:rsidR="00393DCD" w:rsidRPr="00441526">
        <w:rPr>
          <w:b/>
          <w:lang w:val="en-NZ" w:eastAsia="ko-KR"/>
        </w:rPr>
        <w:t xml:space="preserve">APT </w:t>
      </w:r>
      <w:r w:rsidRPr="00441526">
        <w:rPr>
          <w:b/>
          <w:lang w:val="en-NZ" w:eastAsia="ko-KR"/>
        </w:rPr>
        <w:t>Members’ view</w:t>
      </w:r>
      <w:r w:rsidR="00BC69DB" w:rsidRPr="00441526">
        <w:rPr>
          <w:b/>
          <w:lang w:val="en-NZ" w:eastAsia="ko-KR"/>
        </w:rPr>
        <w:t>s</w:t>
      </w:r>
    </w:p>
    <w:p w14:paraId="7E863D57" w14:textId="3882DE59" w:rsidR="00B56099" w:rsidRPr="00441526" w:rsidRDefault="005A730A" w:rsidP="00B56099">
      <w:pPr>
        <w:spacing w:after="120"/>
        <w:jc w:val="both"/>
        <w:rPr>
          <w:b/>
          <w:lang w:val="en-NZ" w:eastAsia="ko-KR"/>
        </w:rPr>
      </w:pPr>
      <w:r>
        <w:rPr>
          <w:b/>
          <w:lang w:val="en-NZ" w:eastAsia="ko-KR"/>
        </w:rPr>
        <w:t xml:space="preserve">3.1.1 </w:t>
      </w:r>
      <w:r>
        <w:rPr>
          <w:b/>
          <w:lang w:val="en-NZ" w:eastAsia="ko-KR"/>
        </w:rPr>
        <w:tab/>
        <w:t>Korea</w:t>
      </w:r>
      <w:r w:rsidR="00D416A3" w:rsidRPr="00441526">
        <w:rPr>
          <w:b/>
          <w:lang w:val="en-NZ" w:eastAsia="ko-KR"/>
        </w:rPr>
        <w:t xml:space="preserve"> </w:t>
      </w:r>
      <w:r w:rsidR="00D416A3" w:rsidRPr="00441526">
        <w:t xml:space="preserve">- </w:t>
      </w:r>
      <w:r>
        <w:rPr>
          <w:b/>
          <w:lang w:val="en-NZ" w:eastAsia="ko-KR"/>
        </w:rPr>
        <w:t>Document APG19-3/INP-25 (KOR)</w:t>
      </w:r>
    </w:p>
    <w:p w14:paraId="48DF2A18" w14:textId="77777777" w:rsidR="005A730A" w:rsidRDefault="005A730A" w:rsidP="005A730A">
      <w:pPr>
        <w:pStyle w:val="ListParagraph"/>
        <w:numPr>
          <w:ilvl w:val="0"/>
          <w:numId w:val="26"/>
        </w:numPr>
        <w:spacing w:after="120"/>
        <w:jc w:val="both"/>
      </w:pPr>
      <w:r>
        <w:t>Ongoing ITU-R studies relevant to WRC-19 agenda item 1.1 are supported.</w:t>
      </w:r>
    </w:p>
    <w:p w14:paraId="2F478EE0" w14:textId="77777777" w:rsidR="005A730A" w:rsidRDefault="005A730A" w:rsidP="005A730A">
      <w:pPr>
        <w:pStyle w:val="ListParagraph"/>
        <w:numPr>
          <w:ilvl w:val="0"/>
          <w:numId w:val="26"/>
        </w:numPr>
        <w:spacing w:beforeLines="50" w:before="120" w:afterLines="50" w:after="120"/>
        <w:jc w:val="both"/>
      </w:pPr>
      <w:r>
        <w:t>Any changes made to the Radio Regulations under WRC-19 Agenda Item 1.1 shall not impose additional constraints on the existing primary allocations in the band 50 – 54 MHz in Region 3.</w:t>
      </w:r>
    </w:p>
    <w:p w14:paraId="2E8DEA31" w14:textId="77777777" w:rsidR="003D1128" w:rsidRPr="00441526" w:rsidRDefault="003D1128" w:rsidP="003D1128">
      <w:pPr>
        <w:rPr>
          <w:lang w:val="en-NZ"/>
        </w:rPr>
      </w:pPr>
    </w:p>
    <w:p w14:paraId="7EEC36C7" w14:textId="72270CA4" w:rsidR="00B56099" w:rsidRPr="00441526" w:rsidRDefault="00B56099" w:rsidP="00B56099">
      <w:pPr>
        <w:spacing w:after="120"/>
        <w:jc w:val="both"/>
        <w:rPr>
          <w:b/>
          <w:lang w:val="en-NZ" w:eastAsia="ko-KR"/>
        </w:rPr>
      </w:pPr>
      <w:r w:rsidRPr="00441526">
        <w:rPr>
          <w:b/>
          <w:lang w:val="en-NZ" w:eastAsia="ko-KR"/>
        </w:rPr>
        <w:t xml:space="preserve">3.1.2 </w:t>
      </w:r>
      <w:r w:rsidRPr="00441526">
        <w:rPr>
          <w:b/>
          <w:lang w:val="en-NZ" w:eastAsia="ko-KR"/>
        </w:rPr>
        <w:tab/>
      </w:r>
      <w:r w:rsidR="005A730A">
        <w:rPr>
          <w:b/>
          <w:lang w:val="en-NZ" w:eastAsia="ko-KR"/>
        </w:rPr>
        <w:t>Iran</w:t>
      </w:r>
      <w:r w:rsidR="00D416A3" w:rsidRPr="00441526">
        <w:rPr>
          <w:b/>
          <w:lang w:val="en-NZ" w:eastAsia="ko-KR"/>
        </w:rPr>
        <w:t xml:space="preserve"> </w:t>
      </w:r>
      <w:r w:rsidR="00D416A3" w:rsidRPr="00441526">
        <w:t xml:space="preserve">- </w:t>
      </w:r>
      <w:r w:rsidR="00D416A3" w:rsidRPr="00441526">
        <w:rPr>
          <w:b/>
          <w:lang w:val="en-NZ" w:eastAsia="ko-KR"/>
        </w:rPr>
        <w:t>Document APG19-3/INP-</w:t>
      </w:r>
      <w:r w:rsidR="005A730A">
        <w:rPr>
          <w:b/>
          <w:lang w:val="en-NZ" w:eastAsia="ko-KR"/>
        </w:rPr>
        <w:t>32 (IRN)</w:t>
      </w:r>
    </w:p>
    <w:p w14:paraId="21CA2DDE" w14:textId="3558B23E" w:rsidR="003D1128" w:rsidRPr="00441526" w:rsidRDefault="005A730A" w:rsidP="003D1128">
      <w:pPr>
        <w:numPr>
          <w:ilvl w:val="0"/>
          <w:numId w:val="18"/>
        </w:numPr>
        <w:ind w:leftChars="145" w:left="708"/>
        <w:rPr>
          <w:lang w:val="en-NZ"/>
        </w:rPr>
      </w:pPr>
      <w:r>
        <w:rPr>
          <w:lang w:val="en-NZ"/>
        </w:rPr>
        <w:t>No Change</w:t>
      </w:r>
    </w:p>
    <w:p w14:paraId="4F48D8DF" w14:textId="0292EF4D" w:rsidR="003D1128" w:rsidRPr="00441526" w:rsidRDefault="003D1128" w:rsidP="003D1128">
      <w:pPr>
        <w:rPr>
          <w:lang w:val="en-NZ"/>
        </w:rPr>
      </w:pPr>
      <w:r w:rsidRPr="00441526">
        <w:rPr>
          <w:lang w:val="en-NZ"/>
        </w:rPr>
        <w:t>.</w:t>
      </w:r>
      <w:r w:rsidR="00DF0EB4" w:rsidRPr="00441526">
        <w:rPr>
          <w:lang w:val="en-NZ"/>
        </w:rPr>
        <w:t xml:space="preserve"> </w:t>
      </w:r>
    </w:p>
    <w:p w14:paraId="46FE5A04" w14:textId="727E308A" w:rsidR="00B56099" w:rsidRPr="00441526" w:rsidRDefault="005A730A" w:rsidP="00B56099">
      <w:pPr>
        <w:spacing w:after="120"/>
        <w:jc w:val="both"/>
        <w:rPr>
          <w:b/>
          <w:lang w:val="en-NZ" w:eastAsia="ko-KR"/>
        </w:rPr>
      </w:pPr>
      <w:r>
        <w:rPr>
          <w:b/>
          <w:lang w:val="en-NZ" w:eastAsia="ko-KR"/>
        </w:rPr>
        <w:t>3.1.3</w:t>
      </w:r>
      <w:r w:rsidR="00B56099" w:rsidRPr="00441526">
        <w:rPr>
          <w:b/>
          <w:lang w:val="en-NZ" w:eastAsia="ko-KR"/>
        </w:rPr>
        <w:tab/>
      </w:r>
      <w:r>
        <w:rPr>
          <w:b/>
          <w:lang w:val="en-NZ" w:eastAsia="ko-KR"/>
        </w:rPr>
        <w:t>Australia</w:t>
      </w:r>
      <w:r w:rsidR="00D416A3" w:rsidRPr="00441526">
        <w:rPr>
          <w:b/>
          <w:lang w:val="en-NZ" w:eastAsia="ko-KR"/>
        </w:rPr>
        <w:t xml:space="preserve"> </w:t>
      </w:r>
      <w:r w:rsidR="00D416A3" w:rsidRPr="00441526">
        <w:t xml:space="preserve">- </w:t>
      </w:r>
      <w:r>
        <w:rPr>
          <w:b/>
          <w:lang w:val="en-NZ" w:eastAsia="ko-KR"/>
        </w:rPr>
        <w:t>Document APG19-3/INP-45 (AUS)</w:t>
      </w:r>
    </w:p>
    <w:p w14:paraId="032C28EA" w14:textId="77777777" w:rsidR="005A730A" w:rsidRDefault="005A730A" w:rsidP="005A730A">
      <w:pPr>
        <w:numPr>
          <w:ilvl w:val="0"/>
          <w:numId w:val="18"/>
        </w:numPr>
        <w:ind w:leftChars="145" w:left="708"/>
        <w:rPr>
          <w:lang w:val="en-NZ"/>
        </w:rPr>
      </w:pPr>
      <w:r w:rsidRPr="005A730A">
        <w:rPr>
          <w:lang w:val="en-NZ"/>
        </w:rPr>
        <w:t>As this is an item specific to Region 1, Australia will monitor ITU-R studies.</w:t>
      </w:r>
    </w:p>
    <w:p w14:paraId="15A2D8EE" w14:textId="77777777" w:rsidR="005A730A" w:rsidRPr="005A730A" w:rsidRDefault="005A730A" w:rsidP="005A730A">
      <w:pPr>
        <w:ind w:left="708"/>
        <w:rPr>
          <w:lang w:val="en-NZ"/>
        </w:rPr>
      </w:pPr>
    </w:p>
    <w:p w14:paraId="55123663" w14:textId="7A888C3F" w:rsidR="005A730A" w:rsidRDefault="005A730A" w:rsidP="005A730A">
      <w:pPr>
        <w:spacing w:after="120"/>
        <w:jc w:val="both"/>
        <w:rPr>
          <w:b/>
          <w:lang w:val="en-NZ" w:eastAsia="ko-KR"/>
        </w:rPr>
      </w:pPr>
      <w:r>
        <w:rPr>
          <w:b/>
          <w:lang w:val="en-NZ" w:eastAsia="ko-KR"/>
        </w:rPr>
        <w:t>3.1.4</w:t>
      </w:r>
      <w:r w:rsidRPr="00441526">
        <w:rPr>
          <w:b/>
          <w:lang w:val="en-NZ" w:eastAsia="ko-KR"/>
        </w:rPr>
        <w:tab/>
      </w:r>
      <w:r>
        <w:rPr>
          <w:b/>
          <w:lang w:val="en-NZ" w:eastAsia="ko-KR"/>
        </w:rPr>
        <w:t>Japan</w:t>
      </w:r>
      <w:r w:rsidRPr="00441526">
        <w:rPr>
          <w:b/>
          <w:lang w:val="en-NZ" w:eastAsia="ko-KR"/>
        </w:rPr>
        <w:t xml:space="preserve"> </w:t>
      </w:r>
      <w:r w:rsidRPr="00441526">
        <w:t xml:space="preserve">- </w:t>
      </w:r>
      <w:r w:rsidR="007074AC">
        <w:rPr>
          <w:b/>
          <w:lang w:val="en-NZ" w:eastAsia="ko-KR"/>
        </w:rPr>
        <w:t>Document APG19-3/INP-53 (J</w:t>
      </w:r>
      <w:r>
        <w:rPr>
          <w:b/>
          <w:lang w:val="en-NZ" w:eastAsia="ko-KR"/>
        </w:rPr>
        <w:t>)</w:t>
      </w:r>
    </w:p>
    <w:p w14:paraId="0AC32DC1" w14:textId="77777777" w:rsidR="005A730A" w:rsidRPr="001D7040" w:rsidRDefault="005A730A" w:rsidP="001D7040">
      <w:pPr>
        <w:numPr>
          <w:ilvl w:val="0"/>
          <w:numId w:val="18"/>
        </w:numPr>
        <w:ind w:leftChars="145" w:left="708"/>
        <w:rPr>
          <w:lang w:val="en-NZ"/>
        </w:rPr>
      </w:pPr>
      <w:r w:rsidRPr="001D7040">
        <w:rPr>
          <w:lang w:val="en-NZ"/>
        </w:rPr>
        <w:t>Japan supports the results of studies being conducted in ITU-R, on the spectrum needs in Region 1 for the amateur service in the frequency band 50-54 MHz and the sharing between the amateur service and the mobile, fixed, radiolocation and broadcasting services, in order to ensure protection of these services, as indicated in invites ITU-R of resolution 658 (WRC-15).</w:t>
      </w:r>
    </w:p>
    <w:p w14:paraId="7CBEF1D8" w14:textId="77777777" w:rsidR="005A730A" w:rsidRPr="001D7040" w:rsidRDefault="005A730A" w:rsidP="001D7040">
      <w:pPr>
        <w:numPr>
          <w:ilvl w:val="0"/>
          <w:numId w:val="18"/>
        </w:numPr>
        <w:ind w:leftChars="145" w:left="708"/>
        <w:rPr>
          <w:lang w:val="en-NZ"/>
        </w:rPr>
      </w:pPr>
      <w:r w:rsidRPr="001D7040">
        <w:rPr>
          <w:lang w:val="en-NZ"/>
        </w:rPr>
        <w:t>Any changes made to the Radio Regulations under WRC-19 Agenda Item 1.1 shall not impose any additional constraints on the existing primary services in the frequency band 50 – 54 MHz in Region 3.</w:t>
      </w:r>
    </w:p>
    <w:p w14:paraId="52DE69EC" w14:textId="77777777" w:rsidR="005A730A" w:rsidRDefault="005A730A" w:rsidP="005A730A">
      <w:pPr>
        <w:spacing w:after="120"/>
        <w:jc w:val="both"/>
        <w:rPr>
          <w:b/>
          <w:lang w:val="en-NZ" w:eastAsia="ko-KR"/>
        </w:rPr>
      </w:pPr>
    </w:p>
    <w:p w14:paraId="20D87568" w14:textId="08D77628" w:rsidR="00AF7685" w:rsidRDefault="00AF7685" w:rsidP="00AF7685">
      <w:pPr>
        <w:spacing w:after="120"/>
        <w:jc w:val="both"/>
        <w:rPr>
          <w:b/>
          <w:lang w:val="en-NZ" w:eastAsia="ko-KR"/>
        </w:rPr>
      </w:pPr>
      <w:r>
        <w:rPr>
          <w:b/>
          <w:lang w:val="en-NZ" w:eastAsia="ko-KR"/>
        </w:rPr>
        <w:t>3.1.5</w:t>
      </w:r>
      <w:r w:rsidRPr="00441526">
        <w:rPr>
          <w:b/>
          <w:lang w:val="en-NZ" w:eastAsia="ko-KR"/>
        </w:rPr>
        <w:tab/>
      </w:r>
      <w:r>
        <w:rPr>
          <w:b/>
          <w:lang w:val="en-NZ" w:eastAsia="ko-KR"/>
        </w:rPr>
        <w:t>Indonesia</w:t>
      </w:r>
      <w:r w:rsidRPr="00441526">
        <w:rPr>
          <w:b/>
          <w:lang w:val="en-NZ" w:eastAsia="ko-KR"/>
        </w:rPr>
        <w:t xml:space="preserve"> </w:t>
      </w:r>
      <w:r w:rsidRPr="00441526">
        <w:t xml:space="preserve">- </w:t>
      </w:r>
      <w:r w:rsidR="007074AC">
        <w:rPr>
          <w:b/>
          <w:lang w:val="en-NZ" w:eastAsia="ko-KR"/>
        </w:rPr>
        <w:t>Document APG19-3/INP-80 (INS</w:t>
      </w:r>
      <w:r>
        <w:rPr>
          <w:b/>
          <w:lang w:val="en-NZ" w:eastAsia="ko-KR"/>
        </w:rPr>
        <w:t>)</w:t>
      </w:r>
    </w:p>
    <w:p w14:paraId="62790E6B" w14:textId="77777777" w:rsidR="00AF7685" w:rsidRDefault="00AF7685" w:rsidP="001D7040">
      <w:pPr>
        <w:numPr>
          <w:ilvl w:val="0"/>
          <w:numId w:val="18"/>
        </w:numPr>
        <w:ind w:leftChars="145" w:left="708"/>
        <w:rPr>
          <w:lang w:val="en-NZ"/>
        </w:rPr>
      </w:pPr>
      <w:r w:rsidRPr="001D7040">
        <w:rPr>
          <w:lang w:val="en-NZ"/>
        </w:rPr>
        <w:t>Indonesia supports studies in accordance with Resolution 658 (WRC-15) with respect to the interference resulting from amateur service to other primary services.</w:t>
      </w:r>
    </w:p>
    <w:p w14:paraId="7FC8E858" w14:textId="375D2130" w:rsidR="00693C7A" w:rsidRPr="001D7040" w:rsidRDefault="00693C7A" w:rsidP="001D7040">
      <w:pPr>
        <w:numPr>
          <w:ilvl w:val="0"/>
          <w:numId w:val="18"/>
        </w:numPr>
        <w:ind w:leftChars="145" w:left="708"/>
        <w:rPr>
          <w:lang w:val="en-NZ"/>
        </w:rPr>
      </w:pPr>
      <w:r>
        <w:rPr>
          <w:lang w:val="en-NZ"/>
        </w:rPr>
        <w:t>Any changes made to the Radio Regulations under WRC-19 agenda item 1.1 must not impact the existing allocations to the amateur service in 50 - 54 MHz in Region 3.</w:t>
      </w:r>
    </w:p>
    <w:p w14:paraId="592B0FB6" w14:textId="77777777" w:rsidR="00AF7685" w:rsidRDefault="00AF7685" w:rsidP="00AF7685">
      <w:pPr>
        <w:jc w:val="both"/>
      </w:pPr>
    </w:p>
    <w:p w14:paraId="0BB69088" w14:textId="678D3AD2" w:rsidR="0049492F" w:rsidRDefault="0049492F" w:rsidP="0049492F">
      <w:pPr>
        <w:spacing w:after="120"/>
        <w:jc w:val="both"/>
        <w:rPr>
          <w:b/>
          <w:lang w:val="en-NZ" w:eastAsia="ko-KR"/>
        </w:rPr>
      </w:pPr>
      <w:r>
        <w:rPr>
          <w:b/>
          <w:lang w:val="en-NZ" w:eastAsia="ko-KR"/>
        </w:rPr>
        <w:t>3.1.6</w:t>
      </w:r>
      <w:r w:rsidRPr="00441526">
        <w:rPr>
          <w:b/>
          <w:lang w:val="en-NZ" w:eastAsia="ko-KR"/>
        </w:rPr>
        <w:tab/>
      </w:r>
      <w:r>
        <w:rPr>
          <w:b/>
          <w:lang w:val="en-NZ" w:eastAsia="ko-KR"/>
        </w:rPr>
        <w:t>Vietnam</w:t>
      </w:r>
      <w:r w:rsidRPr="00441526">
        <w:rPr>
          <w:b/>
          <w:lang w:val="en-NZ" w:eastAsia="ko-KR"/>
        </w:rPr>
        <w:t xml:space="preserve"> </w:t>
      </w:r>
      <w:r w:rsidRPr="00441526">
        <w:t xml:space="preserve">- </w:t>
      </w:r>
      <w:r>
        <w:rPr>
          <w:b/>
          <w:lang w:val="en-NZ" w:eastAsia="ko-KR"/>
        </w:rPr>
        <w:t>Document APG19-3/INP-85 (VTN)</w:t>
      </w:r>
    </w:p>
    <w:p w14:paraId="7094F0AD" w14:textId="7A0EE192" w:rsidR="0049492F" w:rsidRDefault="0049492F" w:rsidP="0049492F">
      <w:pPr>
        <w:widowControl w:val="0"/>
        <w:overflowPunct w:val="0"/>
        <w:autoSpaceDE w:val="0"/>
        <w:autoSpaceDN w:val="0"/>
        <w:adjustRightInd w:val="0"/>
      </w:pPr>
      <w:r w:rsidRPr="004F787A">
        <w:t>WRC-19 Agenda Item 1.1 is a</w:t>
      </w:r>
      <w:r>
        <w:t>n</w:t>
      </w:r>
      <w:r w:rsidRPr="004F787A">
        <w:t xml:space="preserve"> </w:t>
      </w:r>
      <w:r>
        <w:t xml:space="preserve">ITU </w:t>
      </w:r>
      <w:r w:rsidRPr="004F787A">
        <w:t xml:space="preserve">Region 1 </w:t>
      </w:r>
      <w:r w:rsidR="001D7040" w:rsidRPr="004F787A">
        <w:t>issue</w:t>
      </w:r>
      <w:r w:rsidR="001D7040">
        <w:t>;</w:t>
      </w:r>
      <w:r w:rsidRPr="004F787A">
        <w:t xml:space="preserve"> </w:t>
      </w:r>
      <w:r>
        <w:t>Viet Nam Administration supports the following:</w:t>
      </w:r>
    </w:p>
    <w:p w14:paraId="1CE20A2C" w14:textId="77777777" w:rsidR="0049492F" w:rsidRDefault="0049492F" w:rsidP="0049492F">
      <w:pPr>
        <w:pStyle w:val="ListParagraph"/>
        <w:widowControl w:val="0"/>
        <w:numPr>
          <w:ilvl w:val="0"/>
          <w:numId w:val="27"/>
        </w:numPr>
        <w:tabs>
          <w:tab w:val="left" w:pos="794"/>
          <w:tab w:val="left" w:pos="1191"/>
          <w:tab w:val="left" w:pos="1588"/>
          <w:tab w:val="left" w:pos="1985"/>
        </w:tabs>
        <w:overflowPunct w:val="0"/>
        <w:autoSpaceDE w:val="0"/>
        <w:autoSpaceDN w:val="0"/>
        <w:adjustRightInd w:val="0"/>
        <w:spacing w:before="120"/>
        <w:textAlignment w:val="baseline"/>
      </w:pPr>
      <w:r>
        <w:lastRenderedPageBreak/>
        <w:t>Studies are undertaking by ITU-R in this regard, which include the spectrum need for the Amateur service in Region 1;</w:t>
      </w:r>
    </w:p>
    <w:p w14:paraId="26ACEE10" w14:textId="77777777" w:rsidR="0049492F" w:rsidRDefault="0049492F" w:rsidP="0049492F">
      <w:pPr>
        <w:pStyle w:val="ListParagraph"/>
        <w:widowControl w:val="0"/>
        <w:numPr>
          <w:ilvl w:val="0"/>
          <w:numId w:val="27"/>
        </w:numPr>
        <w:tabs>
          <w:tab w:val="left" w:pos="794"/>
          <w:tab w:val="left" w:pos="1191"/>
          <w:tab w:val="left" w:pos="1588"/>
          <w:tab w:val="left" w:pos="1985"/>
        </w:tabs>
        <w:overflowPunct w:val="0"/>
        <w:autoSpaceDE w:val="0"/>
        <w:autoSpaceDN w:val="0"/>
        <w:adjustRightInd w:val="0"/>
        <w:spacing w:before="120"/>
        <w:textAlignment w:val="baseline"/>
      </w:pPr>
      <w:r>
        <w:t>A</w:t>
      </w:r>
      <w:r w:rsidRPr="004F787A">
        <w:t xml:space="preserve">ny changes made to the Radio Regulations under WRC-19 Agenda Item 1.1 must not impact the existing </w:t>
      </w:r>
      <w:r>
        <w:t xml:space="preserve">primary </w:t>
      </w:r>
      <w:r w:rsidRPr="004F787A">
        <w:t>allocation</w:t>
      </w:r>
      <w:r>
        <w:t>s</w:t>
      </w:r>
      <w:r w:rsidRPr="004F787A">
        <w:t xml:space="preserve"> in </w:t>
      </w:r>
      <w:r>
        <w:t xml:space="preserve">the band </w:t>
      </w:r>
      <w:r w:rsidRPr="004F787A">
        <w:t xml:space="preserve">50 – 54 MHz in Region </w:t>
      </w:r>
      <w:r>
        <w:t>3</w:t>
      </w:r>
      <w:r w:rsidRPr="004F787A">
        <w:t>.</w:t>
      </w:r>
    </w:p>
    <w:p w14:paraId="53359881" w14:textId="77777777" w:rsidR="0049492F" w:rsidRDefault="0049492F" w:rsidP="0049492F">
      <w:pPr>
        <w:jc w:val="both"/>
        <w:rPr>
          <w:b/>
        </w:rPr>
      </w:pPr>
    </w:p>
    <w:p w14:paraId="621584B8" w14:textId="77777777" w:rsidR="003D1128" w:rsidRPr="00441526" w:rsidRDefault="003D1128" w:rsidP="003D1128">
      <w:pPr>
        <w:rPr>
          <w:lang w:val="en-NZ"/>
        </w:rPr>
      </w:pPr>
    </w:p>
    <w:p w14:paraId="7E81F481" w14:textId="6B946CE1" w:rsidR="008454C8" w:rsidRPr="00441526" w:rsidRDefault="008454C8" w:rsidP="008454C8">
      <w:pPr>
        <w:spacing w:after="120"/>
        <w:jc w:val="both"/>
        <w:rPr>
          <w:b/>
          <w:lang w:val="en-NZ"/>
        </w:rPr>
      </w:pPr>
      <w:r w:rsidRPr="00441526">
        <w:rPr>
          <w:b/>
          <w:lang w:val="en-NZ"/>
        </w:rPr>
        <w:t xml:space="preserve">3.2 </w:t>
      </w:r>
      <w:r w:rsidRPr="00441526">
        <w:rPr>
          <w:b/>
          <w:lang w:val="en-NZ"/>
        </w:rPr>
        <w:tab/>
      </w:r>
      <w:r w:rsidR="002475E2" w:rsidRPr="00441526">
        <w:rPr>
          <w:b/>
          <w:lang w:val="en-NZ"/>
        </w:rPr>
        <w:t>S</w:t>
      </w:r>
      <w:r w:rsidR="002475E2" w:rsidRPr="00441526">
        <w:rPr>
          <w:b/>
          <w:lang w:val="en-NZ" w:eastAsia="ko-KR"/>
        </w:rPr>
        <w:t xml:space="preserve">ummary of </w:t>
      </w:r>
      <w:r w:rsidR="00BC69DB" w:rsidRPr="00441526">
        <w:rPr>
          <w:b/>
          <w:lang w:val="en-NZ" w:eastAsia="ko-KR"/>
        </w:rPr>
        <w:t>i</w:t>
      </w:r>
      <w:r w:rsidR="002475E2" w:rsidRPr="00441526">
        <w:rPr>
          <w:b/>
          <w:lang w:val="en-NZ" w:eastAsia="ko-KR"/>
        </w:rPr>
        <w:t xml:space="preserve">ssues </w:t>
      </w:r>
      <w:r w:rsidR="00BC69DB" w:rsidRPr="00441526">
        <w:rPr>
          <w:b/>
          <w:lang w:val="en-NZ" w:eastAsia="ko-KR"/>
        </w:rPr>
        <w:t>raised du</w:t>
      </w:r>
      <w:r w:rsidRPr="00441526">
        <w:rPr>
          <w:b/>
          <w:lang w:val="en-NZ"/>
        </w:rPr>
        <w:t>ring the meeting</w:t>
      </w:r>
    </w:p>
    <w:p w14:paraId="03E060AC" w14:textId="33FF49C5" w:rsidR="009D3B3C" w:rsidRDefault="00B47374" w:rsidP="001C443F">
      <w:pPr>
        <w:rPr>
          <w:lang w:val="en-NZ"/>
        </w:rPr>
      </w:pPr>
      <w:r>
        <w:rPr>
          <w:lang w:val="en-NZ"/>
        </w:rPr>
        <w:t xml:space="preserve">APG19-3 input contributions on WRC-19 Agenda Item 1.1 were very similar and there was general consensus among APT members that agenda item 1.1 is a Region 1 issue and that any changes made to the Radio Regulations should not </w:t>
      </w:r>
      <w:r w:rsidR="009B0686" w:rsidRPr="007074AC">
        <w:rPr>
          <w:lang w:val="en-NZ"/>
        </w:rPr>
        <w:t>adversely</w:t>
      </w:r>
      <w:r w:rsidR="009B0686">
        <w:rPr>
          <w:lang w:val="en-NZ"/>
        </w:rPr>
        <w:t xml:space="preserve"> </w:t>
      </w:r>
      <w:r>
        <w:rPr>
          <w:lang w:val="en-NZ"/>
        </w:rPr>
        <w:t xml:space="preserve">impact incumbent services in Region 3. </w:t>
      </w:r>
    </w:p>
    <w:p w14:paraId="01637613" w14:textId="2B8EB9AD" w:rsidR="009D3B3C" w:rsidRDefault="00B47374" w:rsidP="001C443F">
      <w:pPr>
        <w:rPr>
          <w:lang w:val="en-NZ"/>
        </w:rPr>
      </w:pPr>
      <w:r>
        <w:rPr>
          <w:lang w:val="en-NZ"/>
        </w:rPr>
        <w:t xml:space="preserve">It was noted that the only likely area where </w:t>
      </w:r>
      <w:r w:rsidR="009D3B3C">
        <w:rPr>
          <w:lang w:val="en-NZ"/>
        </w:rPr>
        <w:t>harmful interference</w:t>
      </w:r>
      <w:r>
        <w:rPr>
          <w:lang w:val="en-NZ"/>
        </w:rPr>
        <w:t xml:space="preserve"> could arise is on the Region 1 – Region 3 border and consensus text was developed which specifically covered the incumbent services in the border region.</w:t>
      </w:r>
    </w:p>
    <w:p w14:paraId="0EDE74C1" w14:textId="77777777" w:rsidR="003F6F0C" w:rsidRDefault="003F6F0C" w:rsidP="001C443F">
      <w:pPr>
        <w:rPr>
          <w:lang w:val="en-NZ"/>
        </w:rPr>
      </w:pPr>
    </w:p>
    <w:p w14:paraId="35981F85" w14:textId="46B0FCC9" w:rsidR="00703F6F" w:rsidRPr="00441526" w:rsidRDefault="009D3B3C" w:rsidP="001C443F">
      <w:pPr>
        <w:rPr>
          <w:lang w:val="en-NZ"/>
        </w:rPr>
      </w:pPr>
      <w:r>
        <w:rPr>
          <w:lang w:val="en-NZ"/>
        </w:rPr>
        <w:t>Considering the studies at ITU-R Working Party 5A, a</w:t>
      </w:r>
      <w:r w:rsidR="00B47374">
        <w:rPr>
          <w:lang w:val="en-NZ"/>
        </w:rPr>
        <w:t xml:space="preserve">dditional technical and regulatory provisions in the Radio Regulations might </w:t>
      </w:r>
      <w:r>
        <w:rPr>
          <w:lang w:val="en-NZ"/>
        </w:rPr>
        <w:t xml:space="preserve">need to </w:t>
      </w:r>
      <w:r w:rsidR="00B47374">
        <w:rPr>
          <w:lang w:val="en-NZ"/>
        </w:rPr>
        <w:t>be developed</w:t>
      </w:r>
      <w:r>
        <w:rPr>
          <w:lang w:val="en-NZ"/>
        </w:rPr>
        <w:t>.</w:t>
      </w:r>
    </w:p>
    <w:p w14:paraId="3CE6D283" w14:textId="77777777" w:rsidR="0075493D" w:rsidRPr="00441526" w:rsidRDefault="0075493D" w:rsidP="00B64A60">
      <w:pPr>
        <w:jc w:val="both"/>
        <w:rPr>
          <w:lang w:val="en-NZ"/>
        </w:rPr>
      </w:pPr>
    </w:p>
    <w:p w14:paraId="179B8C78" w14:textId="654355B6" w:rsidR="00BC69DB" w:rsidRPr="00441526" w:rsidRDefault="00BC69DB">
      <w:pPr>
        <w:rPr>
          <w:b/>
          <w:lang w:val="en-NZ" w:eastAsia="ko-KR"/>
        </w:rPr>
      </w:pPr>
    </w:p>
    <w:p w14:paraId="2E0E675B" w14:textId="3C40A8E1" w:rsidR="00B64A60" w:rsidRPr="00441526" w:rsidRDefault="00B64A60" w:rsidP="00B64A60">
      <w:pPr>
        <w:spacing w:after="120"/>
        <w:jc w:val="both"/>
        <w:rPr>
          <w:b/>
          <w:lang w:val="en-NZ" w:eastAsia="ko-KR"/>
        </w:rPr>
      </w:pPr>
      <w:r w:rsidRPr="00441526">
        <w:rPr>
          <w:b/>
          <w:lang w:val="en-NZ" w:eastAsia="ko-KR"/>
        </w:rPr>
        <w:t xml:space="preserve">4. </w:t>
      </w:r>
      <w:r w:rsidRPr="00441526">
        <w:rPr>
          <w:b/>
          <w:lang w:val="en-NZ" w:eastAsia="ko-KR"/>
        </w:rPr>
        <w:tab/>
      </w:r>
      <w:r w:rsidR="004465AA" w:rsidRPr="00441526">
        <w:rPr>
          <w:b/>
          <w:lang w:val="en-NZ" w:eastAsia="ko-KR"/>
        </w:rPr>
        <w:t xml:space="preserve">APT </w:t>
      </w:r>
      <w:r w:rsidRPr="00441526">
        <w:rPr>
          <w:b/>
          <w:lang w:val="en-NZ" w:eastAsia="ko-KR"/>
        </w:rPr>
        <w:t>Preliminary View</w:t>
      </w:r>
      <w:r w:rsidR="00D53688" w:rsidRPr="00441526">
        <w:rPr>
          <w:b/>
          <w:lang w:val="en-NZ" w:eastAsia="ko-KR"/>
        </w:rPr>
        <w:t>(s)</w:t>
      </w:r>
    </w:p>
    <w:p w14:paraId="416E176F" w14:textId="19A25B1E" w:rsidR="00D93DA9" w:rsidRDefault="003F6F0C" w:rsidP="001D7040">
      <w:pPr>
        <w:pStyle w:val="ListParagraph"/>
        <w:widowControl w:val="0"/>
        <w:numPr>
          <w:ilvl w:val="0"/>
          <w:numId w:val="27"/>
        </w:numPr>
        <w:tabs>
          <w:tab w:val="left" w:pos="794"/>
          <w:tab w:val="left" w:pos="1191"/>
          <w:tab w:val="left" w:pos="1588"/>
          <w:tab w:val="left" w:pos="1985"/>
        </w:tabs>
        <w:overflowPunct w:val="0"/>
        <w:autoSpaceDE w:val="0"/>
        <w:autoSpaceDN w:val="0"/>
        <w:adjustRightInd w:val="0"/>
        <w:spacing w:before="120"/>
        <w:textAlignment w:val="baseline"/>
      </w:pPr>
      <w:r>
        <w:t>APT M</w:t>
      </w:r>
      <w:r w:rsidR="0050409D">
        <w:t>embers support o</w:t>
      </w:r>
      <w:r w:rsidR="00D93DA9">
        <w:t>ngoing ITU-R studies relevant to WRC-</w:t>
      </w:r>
      <w:r w:rsidR="0050409D">
        <w:t>19 agenda item 1.1</w:t>
      </w:r>
      <w:r w:rsidR="00D93DA9">
        <w:t>.</w:t>
      </w:r>
    </w:p>
    <w:p w14:paraId="20761E0E" w14:textId="669453CA" w:rsidR="007F1545" w:rsidRPr="00A65170" w:rsidRDefault="007F1545" w:rsidP="003F6F0C">
      <w:pPr>
        <w:pStyle w:val="ListParagraph"/>
        <w:widowControl w:val="0"/>
        <w:numPr>
          <w:ilvl w:val="0"/>
          <w:numId w:val="27"/>
        </w:numPr>
        <w:tabs>
          <w:tab w:val="left" w:pos="794"/>
          <w:tab w:val="left" w:pos="1191"/>
          <w:tab w:val="left" w:pos="1588"/>
          <w:tab w:val="left" w:pos="1985"/>
        </w:tabs>
        <w:overflowPunct w:val="0"/>
        <w:autoSpaceDE w:val="0"/>
        <w:autoSpaceDN w:val="0"/>
        <w:adjustRightInd w:val="0"/>
        <w:spacing w:before="120"/>
        <w:jc w:val="both"/>
        <w:textAlignment w:val="baseline"/>
      </w:pPr>
      <w:r w:rsidRPr="00A65170">
        <w:t>Noting this</w:t>
      </w:r>
      <w:r w:rsidR="003F6F0C">
        <w:t xml:space="preserve"> is a Region 1 issue, APT M</w:t>
      </w:r>
      <w:r w:rsidRPr="00A65170">
        <w:t>embers agree that any changes made to the Radio Regulations under WR</w:t>
      </w:r>
      <w:r w:rsidR="00A65170" w:rsidRPr="00A65170">
        <w:t xml:space="preserve">C-19 Agenda Item 1.1 shall not </w:t>
      </w:r>
      <w:r w:rsidR="009B0686" w:rsidRPr="007074AC">
        <w:t>adversely</w:t>
      </w:r>
      <w:r w:rsidR="009B0686">
        <w:t xml:space="preserve"> </w:t>
      </w:r>
      <w:r w:rsidR="00A65170" w:rsidRPr="00A65170">
        <w:t>impact t</w:t>
      </w:r>
      <w:r w:rsidRPr="00A65170">
        <w:t>he incumbent amateur, broadcasting, fixed and m</w:t>
      </w:r>
      <w:bookmarkStart w:id="0" w:name="_GoBack"/>
      <w:bookmarkEnd w:id="0"/>
      <w:r w:rsidRPr="00A65170">
        <w:t xml:space="preserve">obile services in the 50 – 54 MHz frequency band </w:t>
      </w:r>
      <w:r w:rsidR="00A65170" w:rsidRPr="00A65170">
        <w:t xml:space="preserve">and adjacent frequency bands </w:t>
      </w:r>
      <w:r w:rsidRPr="00A65170">
        <w:t>in Region 3.</w:t>
      </w:r>
    </w:p>
    <w:p w14:paraId="254AA8F6" w14:textId="77777777" w:rsidR="00BC69DB" w:rsidRPr="00441526" w:rsidRDefault="00BC69DB" w:rsidP="00BC69DB">
      <w:pPr>
        <w:rPr>
          <w:lang w:val="en-NZ"/>
        </w:rPr>
      </w:pPr>
    </w:p>
    <w:p w14:paraId="2E0E675E" w14:textId="77777777" w:rsidR="00FD6235" w:rsidRPr="00441526" w:rsidRDefault="00FD6235" w:rsidP="00B64A60">
      <w:pPr>
        <w:rPr>
          <w:lang w:val="en-NZ"/>
        </w:rPr>
      </w:pPr>
    </w:p>
    <w:p w14:paraId="2E0E675F" w14:textId="0BE740F2" w:rsidR="00B64A60" w:rsidRDefault="00B64A60" w:rsidP="00B64A60">
      <w:pPr>
        <w:spacing w:after="120"/>
        <w:jc w:val="both"/>
        <w:rPr>
          <w:b/>
          <w:lang w:val="en-NZ" w:eastAsia="ko-KR"/>
        </w:rPr>
      </w:pPr>
      <w:r w:rsidRPr="00441526">
        <w:rPr>
          <w:b/>
          <w:lang w:val="en-NZ" w:eastAsia="ko-KR"/>
        </w:rPr>
        <w:t xml:space="preserve">5. </w:t>
      </w:r>
      <w:r w:rsidRPr="00441526">
        <w:rPr>
          <w:b/>
          <w:lang w:val="en-NZ" w:eastAsia="ko-KR"/>
        </w:rPr>
        <w:tab/>
        <w:t>Other View</w:t>
      </w:r>
      <w:r w:rsidR="00441526" w:rsidRPr="00441526">
        <w:rPr>
          <w:b/>
          <w:lang w:val="en-NZ" w:eastAsia="ko-KR"/>
        </w:rPr>
        <w:t>(</w:t>
      </w:r>
      <w:r w:rsidRPr="00441526">
        <w:rPr>
          <w:b/>
          <w:lang w:val="en-NZ" w:eastAsia="ko-KR"/>
        </w:rPr>
        <w:t>s</w:t>
      </w:r>
      <w:r w:rsidR="00441526" w:rsidRPr="00441526">
        <w:rPr>
          <w:b/>
          <w:lang w:val="en-NZ" w:eastAsia="ko-KR"/>
        </w:rPr>
        <w:t>)</w:t>
      </w:r>
    </w:p>
    <w:p w14:paraId="14F87421" w14:textId="7FD96A9B" w:rsidR="00D03053" w:rsidRPr="00D03053" w:rsidRDefault="00D03053" w:rsidP="00B64A60">
      <w:pPr>
        <w:spacing w:after="120"/>
        <w:jc w:val="both"/>
        <w:rPr>
          <w:lang w:val="en-NZ" w:eastAsia="ko-KR"/>
        </w:rPr>
      </w:pPr>
      <w:r>
        <w:rPr>
          <w:b/>
          <w:lang w:val="en-NZ" w:eastAsia="ko-KR"/>
        </w:rPr>
        <w:tab/>
      </w:r>
      <w:r w:rsidRPr="00D03053">
        <w:rPr>
          <w:lang w:val="en-NZ" w:eastAsia="ko-KR"/>
        </w:rPr>
        <w:t>None</w:t>
      </w:r>
    </w:p>
    <w:p w14:paraId="6ABF4033" w14:textId="77777777" w:rsidR="00DE6735" w:rsidRDefault="00DE6735" w:rsidP="00B64A60">
      <w:pPr>
        <w:rPr>
          <w:lang w:val="en-NZ"/>
        </w:rPr>
      </w:pPr>
    </w:p>
    <w:p w14:paraId="3AECC450" w14:textId="77777777" w:rsidR="00DE6735" w:rsidRPr="00441526" w:rsidRDefault="00DE6735" w:rsidP="00DE6735">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7079073E" w14:textId="415728A7" w:rsidR="00DE6735" w:rsidRPr="00D03053" w:rsidRDefault="00D03053" w:rsidP="00DE6735">
      <w:pPr>
        <w:numPr>
          <w:ilvl w:val="0"/>
          <w:numId w:val="18"/>
        </w:numPr>
        <w:ind w:leftChars="145" w:left="708"/>
        <w:jc w:val="both"/>
        <w:rPr>
          <w:lang w:val="en-NZ"/>
        </w:rPr>
      </w:pPr>
      <w:r w:rsidRPr="00D03053">
        <w:rPr>
          <w:lang w:val="en-NZ"/>
        </w:rPr>
        <w:t xml:space="preserve">Final development of </w:t>
      </w:r>
      <w:r>
        <w:rPr>
          <w:lang w:val="en-NZ"/>
        </w:rPr>
        <w:t>APG Preliminary View on WRC19 Agenda Item 1.1</w:t>
      </w:r>
    </w:p>
    <w:p w14:paraId="460EDFC9" w14:textId="77777777" w:rsidR="00DE6735" w:rsidRPr="008D5101" w:rsidRDefault="00DE6735" w:rsidP="00B64A60">
      <w:pPr>
        <w:rPr>
          <w:lang w:val="en-NZ"/>
        </w:rPr>
      </w:pPr>
    </w:p>
    <w:p w14:paraId="11DF0159" w14:textId="768B8DF2" w:rsidR="00D53688" w:rsidRPr="00441526" w:rsidRDefault="00DE6735" w:rsidP="00264566">
      <w:pPr>
        <w:spacing w:after="120"/>
        <w:rPr>
          <w:b/>
          <w:lang w:val="en-NZ"/>
        </w:rPr>
      </w:pPr>
      <w:r>
        <w:rPr>
          <w:b/>
          <w:lang w:val="en-NZ"/>
        </w:rPr>
        <w:t>7</w:t>
      </w:r>
      <w:r w:rsidR="00D53688" w:rsidRPr="00441526">
        <w:rPr>
          <w:b/>
          <w:lang w:val="en-NZ"/>
        </w:rPr>
        <w:t xml:space="preserve">. </w:t>
      </w:r>
      <w:r w:rsidR="00D53688" w:rsidRPr="00441526">
        <w:rPr>
          <w:b/>
          <w:lang w:val="en-NZ"/>
        </w:rPr>
        <w:tab/>
        <w:t xml:space="preserve">Views from Other </w:t>
      </w:r>
      <w:r w:rsidR="00A564FB" w:rsidRPr="00441526">
        <w:rPr>
          <w:b/>
          <w:lang w:val="en-NZ"/>
        </w:rPr>
        <w:t>Organisations</w:t>
      </w:r>
    </w:p>
    <w:p w14:paraId="226260C4" w14:textId="77777777" w:rsidR="003B4FD1" w:rsidRPr="00441526" w:rsidRDefault="003B4FD1" w:rsidP="003B4FD1">
      <w:pPr>
        <w:rPr>
          <w:lang w:val="en-NZ"/>
        </w:rPr>
      </w:pPr>
    </w:p>
    <w:p w14:paraId="5D613D48" w14:textId="1FF3FA69" w:rsidR="003B4FD1" w:rsidRPr="00441526" w:rsidRDefault="00DE6735" w:rsidP="003B4FD1">
      <w:pPr>
        <w:spacing w:after="120"/>
        <w:jc w:val="both"/>
        <w:rPr>
          <w:b/>
          <w:lang w:val="en-NZ" w:eastAsia="ko-KR"/>
        </w:rPr>
      </w:pPr>
      <w:r>
        <w:rPr>
          <w:b/>
          <w:lang w:val="en-NZ" w:eastAsia="ko-KR"/>
        </w:rPr>
        <w:t>7</w:t>
      </w:r>
      <w:r w:rsidR="003B4FD1" w:rsidRPr="00441526">
        <w:rPr>
          <w:b/>
          <w:lang w:val="en-NZ" w:eastAsia="ko-KR"/>
        </w:rPr>
        <w:t xml:space="preserve">.1 </w:t>
      </w:r>
      <w:r w:rsidR="003B4FD1" w:rsidRPr="00441526">
        <w:rPr>
          <w:b/>
          <w:lang w:val="en-NZ" w:eastAsia="ko-KR"/>
        </w:rPr>
        <w:tab/>
        <w:t xml:space="preserve">Regional </w:t>
      </w:r>
      <w:r w:rsidR="009F547A" w:rsidRPr="00441526">
        <w:rPr>
          <w:b/>
          <w:lang w:val="en-NZ" w:eastAsia="ko-KR"/>
        </w:rPr>
        <w:t>Groups</w:t>
      </w:r>
    </w:p>
    <w:p w14:paraId="4933678C" w14:textId="39510C1D" w:rsidR="003B4FD1" w:rsidRPr="00F9578E" w:rsidRDefault="00DE6735" w:rsidP="003B4FD1">
      <w:pPr>
        <w:spacing w:after="120"/>
        <w:jc w:val="both"/>
        <w:rPr>
          <w:b/>
          <w:lang w:val="en-NZ" w:eastAsia="ko-KR"/>
        </w:rPr>
      </w:pPr>
      <w:r>
        <w:rPr>
          <w:b/>
          <w:lang w:val="en-NZ" w:eastAsia="ko-KR"/>
        </w:rPr>
        <w:t>7</w:t>
      </w:r>
      <w:r w:rsidR="003B4FD1" w:rsidRPr="00F9578E">
        <w:rPr>
          <w:b/>
          <w:lang w:val="en-NZ" w:eastAsia="ko-KR"/>
        </w:rPr>
        <w:t xml:space="preserve">.1.1 </w:t>
      </w:r>
      <w:r w:rsidR="003B4FD1" w:rsidRPr="00F9578E">
        <w:rPr>
          <w:b/>
          <w:lang w:val="en-NZ" w:eastAsia="ko-KR"/>
        </w:rPr>
        <w:tab/>
        <w:t>ASMG</w:t>
      </w:r>
      <w:r w:rsidR="009D46CE" w:rsidRPr="00F9578E">
        <w:t xml:space="preserve"> - </w:t>
      </w:r>
      <w:r w:rsidR="00B606AC">
        <w:rPr>
          <w:b/>
          <w:lang w:val="en-NZ" w:eastAsia="ko-KR"/>
        </w:rPr>
        <w:t>Document APG19-2/INF-01</w:t>
      </w:r>
    </w:p>
    <w:p w14:paraId="6715FDCC" w14:textId="77777777" w:rsidR="004F34D7" w:rsidRPr="00B606AC" w:rsidRDefault="00E612E2" w:rsidP="00B606AC">
      <w:pPr>
        <w:numPr>
          <w:ilvl w:val="0"/>
          <w:numId w:val="18"/>
        </w:numPr>
        <w:tabs>
          <w:tab w:val="num" w:pos="1440"/>
        </w:tabs>
        <w:ind w:leftChars="145" w:left="708"/>
        <w:jc w:val="both"/>
        <w:rPr>
          <w:lang w:val="en-NZ"/>
        </w:rPr>
      </w:pPr>
      <w:r w:rsidRPr="00B606AC">
        <w:rPr>
          <w:lang w:val="en-NZ"/>
        </w:rPr>
        <w:t xml:space="preserve">Some administrations support frequency allocation for amateur service within the band 50-54 MHz on </w:t>
      </w:r>
      <w:proofErr w:type="gramStart"/>
      <w:r w:rsidRPr="00B606AC">
        <w:rPr>
          <w:lang w:val="en-NZ"/>
        </w:rPr>
        <w:t>an</w:t>
      </w:r>
      <w:proofErr w:type="gramEnd"/>
      <w:r w:rsidRPr="00B606AC">
        <w:rPr>
          <w:lang w:val="en-NZ"/>
        </w:rPr>
        <w:t xml:space="preserve"> primary basis, with following -up studies on this regard and emphasis on protecting the existing services without imposing new restrictions on them.</w:t>
      </w:r>
    </w:p>
    <w:p w14:paraId="51B66655" w14:textId="77777777" w:rsidR="004F34D7" w:rsidRPr="00B606AC" w:rsidRDefault="00E612E2" w:rsidP="00B606AC">
      <w:pPr>
        <w:numPr>
          <w:ilvl w:val="0"/>
          <w:numId w:val="18"/>
        </w:numPr>
        <w:tabs>
          <w:tab w:val="num" w:pos="1440"/>
        </w:tabs>
        <w:ind w:leftChars="145" w:left="708"/>
        <w:jc w:val="both"/>
        <w:rPr>
          <w:lang w:val="en-NZ"/>
        </w:rPr>
      </w:pPr>
      <w:r w:rsidRPr="00B606AC">
        <w:rPr>
          <w:lang w:val="en-NZ"/>
        </w:rPr>
        <w:t>Some administration prefers to wait and follow up the studies at this stage.</w:t>
      </w:r>
    </w:p>
    <w:p w14:paraId="0F1EEA20" w14:textId="77777777" w:rsidR="003B4FD1" w:rsidRPr="00F9578E" w:rsidRDefault="003B4FD1" w:rsidP="003B4FD1">
      <w:pPr>
        <w:rPr>
          <w:lang w:val="en-NZ"/>
        </w:rPr>
      </w:pPr>
    </w:p>
    <w:p w14:paraId="349D9C1E" w14:textId="29587C2C" w:rsidR="003B4FD1" w:rsidRPr="00F9578E" w:rsidRDefault="00DE6735" w:rsidP="003B4FD1">
      <w:pPr>
        <w:spacing w:after="120"/>
        <w:jc w:val="both"/>
        <w:rPr>
          <w:b/>
          <w:lang w:val="en-NZ" w:eastAsia="ko-KR"/>
        </w:rPr>
      </w:pPr>
      <w:r>
        <w:rPr>
          <w:b/>
          <w:lang w:val="en-NZ" w:eastAsia="ko-KR"/>
        </w:rPr>
        <w:t>7</w:t>
      </w:r>
      <w:r w:rsidR="009F547A" w:rsidRPr="00F9578E">
        <w:rPr>
          <w:b/>
          <w:lang w:val="en-NZ" w:eastAsia="ko-KR"/>
        </w:rPr>
        <w:t>.1</w:t>
      </w:r>
      <w:r w:rsidR="003B4FD1" w:rsidRPr="00F9578E">
        <w:rPr>
          <w:b/>
          <w:lang w:val="en-NZ" w:eastAsia="ko-KR"/>
        </w:rPr>
        <w:t xml:space="preserve">.2 </w:t>
      </w:r>
      <w:r w:rsidR="003B4FD1" w:rsidRPr="00F9578E">
        <w:rPr>
          <w:b/>
          <w:lang w:val="en-NZ" w:eastAsia="ko-KR"/>
        </w:rPr>
        <w:tab/>
        <w:t>ATU</w:t>
      </w:r>
      <w:r w:rsidR="009D46CE" w:rsidRPr="00F9578E">
        <w:rPr>
          <w:b/>
          <w:lang w:val="en-NZ" w:eastAsia="ko-KR"/>
        </w:rPr>
        <w:t xml:space="preserve"> </w:t>
      </w:r>
    </w:p>
    <w:p w14:paraId="1D7AE7E4" w14:textId="01135D5B" w:rsidR="003B4FD1" w:rsidRPr="00F9578E" w:rsidRDefault="00F9578E" w:rsidP="003B4FD1">
      <w:pPr>
        <w:numPr>
          <w:ilvl w:val="0"/>
          <w:numId w:val="18"/>
        </w:numPr>
        <w:ind w:leftChars="145" w:left="708"/>
        <w:rPr>
          <w:lang w:val="en-NZ"/>
        </w:rPr>
      </w:pPr>
      <w:r w:rsidRPr="00F9578E">
        <w:rPr>
          <w:lang w:val="en-NZ"/>
        </w:rPr>
        <w:t xml:space="preserve">No </w:t>
      </w:r>
      <w:r w:rsidR="003B4FD1" w:rsidRPr="00F9578E">
        <w:rPr>
          <w:lang w:val="en-NZ"/>
        </w:rPr>
        <w:t xml:space="preserve">ATU </w:t>
      </w:r>
      <w:r w:rsidRPr="00F9578E">
        <w:rPr>
          <w:lang w:val="en-NZ"/>
        </w:rPr>
        <w:t>input contribution</w:t>
      </w:r>
      <w:r>
        <w:rPr>
          <w:lang w:val="en-NZ"/>
        </w:rPr>
        <w:t xml:space="preserve"> to APG19-3</w:t>
      </w:r>
      <w:r w:rsidRPr="00F9578E">
        <w:rPr>
          <w:lang w:val="en-NZ"/>
        </w:rPr>
        <w:t>.</w:t>
      </w:r>
    </w:p>
    <w:p w14:paraId="3E0DAAE1" w14:textId="77777777" w:rsidR="00D53688" w:rsidRPr="00441526" w:rsidRDefault="00D53688" w:rsidP="00D53688">
      <w:pPr>
        <w:rPr>
          <w:b/>
          <w:lang w:val="en-NZ"/>
        </w:rPr>
      </w:pPr>
    </w:p>
    <w:p w14:paraId="1BFBDE37" w14:textId="309F2274" w:rsidR="003B4FD1" w:rsidRPr="00441526" w:rsidRDefault="00DE6735" w:rsidP="003B4FD1">
      <w:pPr>
        <w:spacing w:after="120"/>
        <w:jc w:val="both"/>
        <w:rPr>
          <w:b/>
          <w:lang w:val="en-NZ" w:eastAsia="ko-KR"/>
        </w:rPr>
      </w:pPr>
      <w:r>
        <w:rPr>
          <w:b/>
          <w:lang w:val="en-NZ" w:eastAsia="ko-KR"/>
        </w:rPr>
        <w:t>7</w:t>
      </w:r>
      <w:r w:rsidR="009F547A" w:rsidRPr="00441526">
        <w:rPr>
          <w:b/>
          <w:lang w:val="en-NZ" w:eastAsia="ko-KR"/>
        </w:rPr>
        <w:t>.1</w:t>
      </w:r>
      <w:r w:rsidR="003B4FD1" w:rsidRPr="00441526">
        <w:rPr>
          <w:b/>
          <w:lang w:val="en-NZ" w:eastAsia="ko-KR"/>
        </w:rPr>
        <w:t xml:space="preserve">.3 </w:t>
      </w:r>
      <w:r w:rsidR="003B4FD1" w:rsidRPr="00441526">
        <w:rPr>
          <w:b/>
          <w:lang w:val="en-NZ" w:eastAsia="ko-KR"/>
        </w:rPr>
        <w:tab/>
        <w:t>CEPT</w:t>
      </w:r>
      <w:r w:rsidR="009D46CE" w:rsidRPr="00441526">
        <w:rPr>
          <w:b/>
          <w:lang w:val="en-NZ" w:eastAsia="ko-KR"/>
        </w:rPr>
        <w:t xml:space="preserve"> </w:t>
      </w:r>
      <w:r w:rsidR="009D46CE" w:rsidRPr="00441526">
        <w:t xml:space="preserve">- </w:t>
      </w:r>
      <w:r w:rsidR="00D93DA9">
        <w:rPr>
          <w:b/>
          <w:lang w:val="en-NZ" w:eastAsia="ko-KR"/>
        </w:rPr>
        <w:t>Document APG19-3/INF-06</w:t>
      </w:r>
    </w:p>
    <w:p w14:paraId="41A65E07" w14:textId="60C9F9AB" w:rsidR="00D93DA9" w:rsidRPr="001D7040" w:rsidRDefault="00D93DA9" w:rsidP="001D7040">
      <w:pPr>
        <w:pStyle w:val="ListParagraph"/>
        <w:widowControl w:val="0"/>
        <w:numPr>
          <w:ilvl w:val="0"/>
          <w:numId w:val="27"/>
        </w:numPr>
        <w:tabs>
          <w:tab w:val="left" w:pos="794"/>
          <w:tab w:val="left" w:pos="1191"/>
          <w:tab w:val="left" w:pos="1588"/>
          <w:tab w:val="left" w:pos="1985"/>
        </w:tabs>
        <w:overflowPunct w:val="0"/>
        <w:autoSpaceDE w:val="0"/>
        <w:autoSpaceDN w:val="0"/>
        <w:adjustRightInd w:val="0"/>
        <w:spacing w:before="120"/>
        <w:textAlignment w:val="baseline"/>
      </w:pPr>
      <w:r w:rsidRPr="001D7040">
        <w:lastRenderedPageBreak/>
        <w:t>CEPT supports an allocation in the frequency range [50-xx] MHz to the amateur service</w:t>
      </w:r>
      <w:r w:rsidR="001D7040">
        <w:t xml:space="preserve"> </w:t>
      </w:r>
      <w:r w:rsidRPr="001D7040">
        <w:t>in Region 1 on a [primary/secondary] basis. CEPT is of the view that the amateur service</w:t>
      </w:r>
      <w:r w:rsidR="001D7040">
        <w:t xml:space="preserve"> </w:t>
      </w:r>
      <w:r w:rsidRPr="001D7040">
        <w:t>shall not cause harmful interference to, nor claim protection from harmful interference</w:t>
      </w:r>
      <w:r w:rsidR="001D7040">
        <w:t xml:space="preserve"> </w:t>
      </w:r>
      <w:r w:rsidRPr="001D7040">
        <w:t>caused by the incumbent services.</w:t>
      </w:r>
    </w:p>
    <w:p w14:paraId="38F8BCE4" w14:textId="77777777" w:rsidR="00D93DA9" w:rsidRPr="001D7040" w:rsidRDefault="00D93DA9" w:rsidP="001D7040">
      <w:pPr>
        <w:pStyle w:val="ListParagraph"/>
        <w:widowControl w:val="0"/>
        <w:numPr>
          <w:ilvl w:val="0"/>
          <w:numId w:val="27"/>
        </w:numPr>
        <w:tabs>
          <w:tab w:val="left" w:pos="794"/>
          <w:tab w:val="left" w:pos="1191"/>
          <w:tab w:val="left" w:pos="1588"/>
          <w:tab w:val="left" w:pos="1985"/>
        </w:tabs>
        <w:overflowPunct w:val="0"/>
        <w:autoSpaceDE w:val="0"/>
        <w:autoSpaceDN w:val="0"/>
        <w:adjustRightInd w:val="0"/>
        <w:spacing w:before="120"/>
        <w:textAlignment w:val="baseline"/>
      </w:pPr>
      <w:r w:rsidRPr="001D7040">
        <w:t>CEPT supports no change to the RR in the frequency band [xx-54] MHz in Region 1.</w:t>
      </w:r>
    </w:p>
    <w:p w14:paraId="2E0E6762" w14:textId="77777777" w:rsidR="00B64A60" w:rsidRPr="00441526" w:rsidRDefault="00B64A60" w:rsidP="00B64A60">
      <w:pPr>
        <w:rPr>
          <w:lang w:val="en-NZ"/>
        </w:rPr>
      </w:pPr>
    </w:p>
    <w:p w14:paraId="5A3F0439" w14:textId="7909EF35" w:rsidR="003B4FD1" w:rsidRPr="00441526" w:rsidRDefault="00DE6735" w:rsidP="003B4FD1">
      <w:pPr>
        <w:spacing w:after="120"/>
        <w:jc w:val="both"/>
        <w:rPr>
          <w:b/>
          <w:lang w:val="en-NZ" w:eastAsia="ko-KR"/>
        </w:rPr>
      </w:pPr>
      <w:r>
        <w:rPr>
          <w:b/>
          <w:lang w:val="en-NZ" w:eastAsia="ko-KR"/>
        </w:rPr>
        <w:t>7</w:t>
      </w:r>
      <w:r w:rsidR="009F547A" w:rsidRPr="00441526">
        <w:rPr>
          <w:b/>
          <w:lang w:val="en-NZ" w:eastAsia="ko-KR"/>
        </w:rPr>
        <w:t>.1</w:t>
      </w:r>
      <w:r w:rsidR="003B4FD1" w:rsidRPr="00441526">
        <w:rPr>
          <w:b/>
          <w:lang w:val="en-NZ" w:eastAsia="ko-KR"/>
        </w:rPr>
        <w:t xml:space="preserve">.4 </w:t>
      </w:r>
      <w:r w:rsidR="003B4FD1" w:rsidRPr="00441526">
        <w:rPr>
          <w:b/>
          <w:lang w:val="en-NZ" w:eastAsia="ko-KR"/>
        </w:rPr>
        <w:tab/>
        <w:t>CITEL</w:t>
      </w:r>
      <w:r w:rsidR="009D46CE" w:rsidRPr="00441526">
        <w:rPr>
          <w:b/>
          <w:lang w:val="en-NZ" w:eastAsia="ko-KR"/>
        </w:rPr>
        <w:t xml:space="preserve"> </w:t>
      </w:r>
      <w:r w:rsidR="009D46CE" w:rsidRPr="00441526">
        <w:t xml:space="preserve">- </w:t>
      </w:r>
      <w:r w:rsidR="00D93DA9">
        <w:rPr>
          <w:b/>
          <w:lang w:val="en-NZ" w:eastAsia="ko-KR"/>
        </w:rPr>
        <w:t>Document APG19-3/INF-08-R1</w:t>
      </w:r>
    </w:p>
    <w:p w14:paraId="7E564955" w14:textId="3312BB53" w:rsidR="008347C0" w:rsidRPr="00B606AC" w:rsidRDefault="008347C0" w:rsidP="007F1545">
      <w:pPr>
        <w:pStyle w:val="ListParagraph"/>
        <w:widowControl w:val="0"/>
        <w:numPr>
          <w:ilvl w:val="0"/>
          <w:numId w:val="27"/>
        </w:numPr>
        <w:tabs>
          <w:tab w:val="left" w:pos="794"/>
          <w:tab w:val="left" w:pos="1191"/>
          <w:tab w:val="left" w:pos="1588"/>
          <w:tab w:val="left" w:pos="1985"/>
        </w:tabs>
        <w:overflowPunct w:val="0"/>
        <w:autoSpaceDE w:val="0"/>
        <w:autoSpaceDN w:val="0"/>
        <w:adjustRightInd w:val="0"/>
        <w:spacing w:before="120"/>
        <w:textAlignment w:val="baseline"/>
      </w:pPr>
      <w:r w:rsidRPr="00B606AC">
        <w:rPr>
          <w:rFonts w:eastAsia="Times New Roman"/>
          <w:color w:val="000000"/>
        </w:rPr>
        <w:t>No Change to the regulations for Region 2, outcome should not impact our region.</w:t>
      </w:r>
    </w:p>
    <w:p w14:paraId="61EA9C59" w14:textId="77777777" w:rsidR="00D93DA9" w:rsidRPr="00441526" w:rsidRDefault="00D93DA9">
      <w:pPr>
        <w:rPr>
          <w:b/>
          <w:lang w:val="en-NZ" w:eastAsia="ko-KR"/>
        </w:rPr>
      </w:pPr>
    </w:p>
    <w:p w14:paraId="565C731B" w14:textId="3997D284" w:rsidR="003B4FD1" w:rsidRPr="00BA6A5D" w:rsidRDefault="00DE6735" w:rsidP="003B4FD1">
      <w:pPr>
        <w:spacing w:after="120"/>
        <w:jc w:val="both"/>
        <w:rPr>
          <w:b/>
          <w:lang w:val="en-NZ" w:eastAsia="ko-KR"/>
        </w:rPr>
      </w:pPr>
      <w:r>
        <w:rPr>
          <w:b/>
          <w:lang w:val="en-NZ" w:eastAsia="ko-KR"/>
        </w:rPr>
        <w:t>7</w:t>
      </w:r>
      <w:r w:rsidR="009F547A" w:rsidRPr="00BA6A5D">
        <w:rPr>
          <w:b/>
          <w:lang w:val="en-NZ" w:eastAsia="ko-KR"/>
        </w:rPr>
        <w:t>.1</w:t>
      </w:r>
      <w:r w:rsidR="003B4FD1" w:rsidRPr="00BA6A5D">
        <w:rPr>
          <w:b/>
          <w:lang w:val="en-NZ" w:eastAsia="ko-KR"/>
        </w:rPr>
        <w:t xml:space="preserve">.5 </w:t>
      </w:r>
      <w:r w:rsidR="003B4FD1" w:rsidRPr="00BA6A5D">
        <w:rPr>
          <w:b/>
          <w:lang w:val="en-NZ" w:eastAsia="ko-KR"/>
        </w:rPr>
        <w:tab/>
        <w:t>RCC</w:t>
      </w:r>
      <w:r w:rsidR="009D46CE" w:rsidRPr="00BA6A5D">
        <w:rPr>
          <w:b/>
          <w:lang w:val="en-NZ" w:eastAsia="ko-KR"/>
        </w:rPr>
        <w:t xml:space="preserve"> </w:t>
      </w:r>
      <w:r w:rsidR="009D46CE" w:rsidRPr="00BA6A5D">
        <w:t xml:space="preserve">- </w:t>
      </w:r>
      <w:r w:rsidR="00BA6A5D">
        <w:rPr>
          <w:b/>
          <w:lang w:val="en-NZ" w:eastAsia="ko-KR"/>
        </w:rPr>
        <w:t>Document APG19-2/INF-05</w:t>
      </w:r>
    </w:p>
    <w:p w14:paraId="25E675CB" w14:textId="77777777" w:rsidR="00BA6A5D" w:rsidRPr="001D7040" w:rsidRDefault="00BA6A5D" w:rsidP="001D7040">
      <w:pPr>
        <w:pStyle w:val="ListParagraph"/>
        <w:widowControl w:val="0"/>
        <w:numPr>
          <w:ilvl w:val="0"/>
          <w:numId w:val="27"/>
        </w:numPr>
        <w:tabs>
          <w:tab w:val="left" w:pos="794"/>
          <w:tab w:val="left" w:pos="1191"/>
          <w:tab w:val="left" w:pos="1588"/>
          <w:tab w:val="left" w:pos="1985"/>
        </w:tabs>
        <w:overflowPunct w:val="0"/>
        <w:autoSpaceDE w:val="0"/>
        <w:autoSpaceDN w:val="0"/>
        <w:adjustRightInd w:val="0"/>
        <w:spacing w:before="120"/>
        <w:textAlignment w:val="baseline"/>
      </w:pPr>
      <w:r w:rsidRPr="00BA6A5D">
        <w:rPr>
          <w:rFonts w:eastAsia="Calibri"/>
          <w:color w:val="00000A"/>
        </w:rPr>
        <w:t>T</w:t>
      </w:r>
      <w:r w:rsidRPr="001D7040">
        <w:t>he RCC Administrations consider that during studies on possible allocation of the frequency band 50-54 MHz to the amateur service in Region 1, spectrum requirements for the amateur service shall be identified.</w:t>
      </w:r>
    </w:p>
    <w:p w14:paraId="1541BE92" w14:textId="77777777" w:rsidR="00BA6A5D" w:rsidRPr="001D7040" w:rsidRDefault="00BA6A5D" w:rsidP="001D7040">
      <w:pPr>
        <w:pStyle w:val="ListParagraph"/>
        <w:widowControl w:val="0"/>
        <w:numPr>
          <w:ilvl w:val="0"/>
          <w:numId w:val="27"/>
        </w:numPr>
        <w:tabs>
          <w:tab w:val="left" w:pos="794"/>
          <w:tab w:val="left" w:pos="1191"/>
          <w:tab w:val="left" w:pos="1588"/>
          <w:tab w:val="left" w:pos="1985"/>
        </w:tabs>
        <w:overflowPunct w:val="0"/>
        <w:autoSpaceDE w:val="0"/>
        <w:autoSpaceDN w:val="0"/>
        <w:adjustRightInd w:val="0"/>
        <w:spacing w:before="120"/>
        <w:textAlignment w:val="baseline"/>
      </w:pPr>
      <w:r w:rsidRPr="001D7040">
        <w:t>The RCC Administrations consider that, when identifying technical and regulatory conditions for such allocation, protection shall be ensured to the broadcasting service to which this frequency band is allocated on a primary basis, including stations of the broadcasting service in the frequency band 50-54 MHz, regulated by Stockholm-61 and Geneva-89.</w:t>
      </w:r>
    </w:p>
    <w:p w14:paraId="631FC134" w14:textId="77777777" w:rsidR="00441526" w:rsidRPr="00441526" w:rsidRDefault="00441526" w:rsidP="00B64A60">
      <w:pPr>
        <w:rPr>
          <w:lang w:val="en-NZ"/>
        </w:rPr>
      </w:pPr>
    </w:p>
    <w:p w14:paraId="7BC7B0CB" w14:textId="4B2970E8" w:rsidR="003B4FD1" w:rsidRPr="00441526" w:rsidRDefault="00DE6735" w:rsidP="003B4FD1">
      <w:pPr>
        <w:spacing w:after="120"/>
        <w:jc w:val="both"/>
        <w:rPr>
          <w:b/>
          <w:lang w:val="en-NZ" w:eastAsia="ko-KR"/>
        </w:rPr>
      </w:pPr>
      <w:r>
        <w:rPr>
          <w:b/>
          <w:lang w:val="en-NZ" w:eastAsia="ko-KR"/>
        </w:rPr>
        <w:t>7</w:t>
      </w:r>
      <w:r w:rsidR="003B4FD1" w:rsidRPr="00441526">
        <w:rPr>
          <w:b/>
          <w:lang w:val="en-NZ" w:eastAsia="ko-KR"/>
        </w:rPr>
        <w:t xml:space="preserve">.2 </w:t>
      </w:r>
      <w:r w:rsidR="003B4FD1" w:rsidRPr="00441526">
        <w:rPr>
          <w:b/>
          <w:lang w:val="en-NZ" w:eastAsia="ko-KR"/>
        </w:rPr>
        <w:tab/>
      </w:r>
      <w:r w:rsidR="009F547A" w:rsidRPr="00441526">
        <w:rPr>
          <w:b/>
          <w:lang w:val="en-NZ" w:eastAsia="ko-KR"/>
        </w:rPr>
        <w:t xml:space="preserve">International </w:t>
      </w:r>
      <w:r w:rsidR="003B4FD1" w:rsidRPr="00441526">
        <w:rPr>
          <w:b/>
          <w:lang w:val="en-NZ" w:eastAsia="ko-KR"/>
        </w:rPr>
        <w:t>Organisations</w:t>
      </w:r>
    </w:p>
    <w:p w14:paraId="3E34A31F" w14:textId="3A80509D" w:rsidR="003B4FD1" w:rsidRPr="00441526" w:rsidRDefault="00DE6735" w:rsidP="003B4FD1">
      <w:pPr>
        <w:spacing w:after="120"/>
        <w:jc w:val="both"/>
        <w:rPr>
          <w:b/>
          <w:lang w:val="en-NZ" w:eastAsia="ko-KR"/>
        </w:rPr>
      </w:pPr>
      <w:r>
        <w:rPr>
          <w:b/>
          <w:lang w:val="en-NZ" w:eastAsia="ko-KR"/>
        </w:rPr>
        <w:t>7</w:t>
      </w:r>
      <w:r w:rsidR="003B4FD1" w:rsidRPr="00441526">
        <w:rPr>
          <w:b/>
          <w:lang w:val="en-NZ" w:eastAsia="ko-KR"/>
        </w:rPr>
        <w:t>.</w:t>
      </w:r>
      <w:r w:rsidR="009F547A" w:rsidRPr="00441526">
        <w:rPr>
          <w:b/>
          <w:lang w:val="en-NZ" w:eastAsia="ko-KR"/>
        </w:rPr>
        <w:t>2.1</w:t>
      </w:r>
      <w:r w:rsidR="003B4FD1" w:rsidRPr="00441526">
        <w:rPr>
          <w:b/>
          <w:lang w:val="en-NZ" w:eastAsia="ko-KR"/>
        </w:rPr>
        <w:t xml:space="preserve"> </w:t>
      </w:r>
      <w:r w:rsidR="003B4FD1" w:rsidRPr="00441526">
        <w:rPr>
          <w:b/>
          <w:lang w:val="en-NZ" w:eastAsia="ko-KR"/>
        </w:rPr>
        <w:tab/>
        <w:t>I</w:t>
      </w:r>
      <w:r w:rsidR="009F547A" w:rsidRPr="00441526">
        <w:rPr>
          <w:b/>
          <w:lang w:val="en-NZ" w:eastAsia="ko-KR"/>
        </w:rPr>
        <w:t>ARU</w:t>
      </w:r>
      <w:r w:rsidR="009D46CE" w:rsidRPr="00441526">
        <w:rPr>
          <w:b/>
          <w:lang w:val="en-NZ" w:eastAsia="ko-KR"/>
        </w:rPr>
        <w:t xml:space="preserve"> </w:t>
      </w:r>
      <w:r w:rsidR="009D46CE" w:rsidRPr="00441526">
        <w:t xml:space="preserve">- </w:t>
      </w:r>
      <w:r w:rsidR="00D93DA9">
        <w:rPr>
          <w:b/>
          <w:lang w:val="en-NZ" w:eastAsia="ko-KR"/>
        </w:rPr>
        <w:t>Document APG19-3/INF-09</w:t>
      </w:r>
    </w:p>
    <w:p w14:paraId="353353C7" w14:textId="77777777" w:rsidR="00D93DA9" w:rsidRPr="001D7040" w:rsidRDefault="00D93DA9" w:rsidP="001D7040">
      <w:pPr>
        <w:pStyle w:val="ListParagraph"/>
        <w:widowControl w:val="0"/>
        <w:numPr>
          <w:ilvl w:val="0"/>
          <w:numId w:val="27"/>
        </w:numPr>
        <w:tabs>
          <w:tab w:val="left" w:pos="794"/>
          <w:tab w:val="left" w:pos="1191"/>
          <w:tab w:val="left" w:pos="1588"/>
          <w:tab w:val="left" w:pos="1985"/>
        </w:tabs>
        <w:overflowPunct w:val="0"/>
        <w:autoSpaceDE w:val="0"/>
        <w:autoSpaceDN w:val="0"/>
        <w:adjustRightInd w:val="0"/>
        <w:spacing w:before="120"/>
        <w:textAlignment w:val="baseline"/>
      </w:pPr>
      <w:r w:rsidRPr="001D7040">
        <w:t>The IARU supports modification of the Table of Frequency Allocations to allocate the band 50-54 MHz to the amateur service on a primary basis in Region 1 and so provide a harmonized allocation across all three Regions.</w:t>
      </w:r>
    </w:p>
    <w:p w14:paraId="56E8B809" w14:textId="77777777" w:rsidR="003B4FD1" w:rsidRPr="00441526" w:rsidRDefault="003B4FD1" w:rsidP="003B4FD1">
      <w:pPr>
        <w:rPr>
          <w:lang w:val="en-NZ"/>
        </w:rPr>
      </w:pPr>
    </w:p>
    <w:p w14:paraId="2C98466F" w14:textId="345D969D" w:rsidR="009F547A" w:rsidRPr="00BA6A5D" w:rsidRDefault="00DE6735" w:rsidP="009F547A">
      <w:pPr>
        <w:spacing w:after="120"/>
        <w:jc w:val="both"/>
        <w:rPr>
          <w:b/>
          <w:lang w:val="en-NZ" w:eastAsia="ko-KR"/>
        </w:rPr>
      </w:pPr>
      <w:r>
        <w:rPr>
          <w:b/>
          <w:lang w:val="en-NZ" w:eastAsia="ko-KR"/>
        </w:rPr>
        <w:t>7</w:t>
      </w:r>
      <w:r w:rsidR="009F547A" w:rsidRPr="00BA6A5D">
        <w:rPr>
          <w:b/>
          <w:lang w:val="en-NZ" w:eastAsia="ko-KR"/>
        </w:rPr>
        <w:t xml:space="preserve">.2.2 </w:t>
      </w:r>
      <w:r w:rsidR="009F547A" w:rsidRPr="00BA6A5D">
        <w:rPr>
          <w:b/>
          <w:lang w:val="en-NZ" w:eastAsia="ko-KR"/>
        </w:rPr>
        <w:tab/>
        <w:t>ICAO</w:t>
      </w:r>
      <w:r w:rsidR="009D46CE" w:rsidRPr="00BA6A5D">
        <w:rPr>
          <w:b/>
          <w:lang w:val="en-NZ" w:eastAsia="ko-KR"/>
        </w:rPr>
        <w:t xml:space="preserve"> </w:t>
      </w:r>
      <w:r w:rsidR="009D46CE" w:rsidRPr="00BA6A5D">
        <w:t xml:space="preserve">- </w:t>
      </w:r>
      <w:r w:rsidR="00BA6A5D">
        <w:rPr>
          <w:b/>
          <w:lang w:val="en-NZ" w:eastAsia="ko-KR"/>
        </w:rPr>
        <w:t>Document APG19-2/INF-02</w:t>
      </w:r>
    </w:p>
    <w:p w14:paraId="75CFA2DC" w14:textId="3A9176B4" w:rsidR="00BA6A5D" w:rsidRPr="001D7040" w:rsidRDefault="00BA6A5D" w:rsidP="001D7040">
      <w:pPr>
        <w:pStyle w:val="ListParagraph"/>
        <w:widowControl w:val="0"/>
        <w:numPr>
          <w:ilvl w:val="0"/>
          <w:numId w:val="27"/>
        </w:numPr>
        <w:tabs>
          <w:tab w:val="left" w:pos="794"/>
          <w:tab w:val="left" w:pos="1191"/>
          <w:tab w:val="left" w:pos="1588"/>
          <w:tab w:val="left" w:pos="1985"/>
        </w:tabs>
        <w:overflowPunct w:val="0"/>
        <w:autoSpaceDE w:val="0"/>
        <w:autoSpaceDN w:val="0"/>
        <w:adjustRightInd w:val="0"/>
        <w:spacing w:before="120"/>
        <w:textAlignment w:val="baseline"/>
      </w:pPr>
      <w:r w:rsidRPr="001D7040">
        <w:t>No impact on aeronautical services has been identified from WRC-</w:t>
      </w:r>
      <w:r w:rsidRPr="008F29AC">
        <w:t>19</w:t>
      </w:r>
      <w:r w:rsidRPr="001D7040">
        <w:t xml:space="preserve"> Agenda Items</w:t>
      </w:r>
      <w:r w:rsidRPr="00BA6A5D">
        <w:t> </w:t>
      </w:r>
      <w:r w:rsidRPr="001D7040">
        <w:t>1.1</w:t>
      </w:r>
    </w:p>
    <w:p w14:paraId="369A914A" w14:textId="77777777" w:rsidR="009F547A" w:rsidRPr="00441526" w:rsidRDefault="009F547A" w:rsidP="00B64A60">
      <w:pPr>
        <w:rPr>
          <w:lang w:val="en-NZ"/>
        </w:rPr>
      </w:pPr>
    </w:p>
    <w:p w14:paraId="4F8EA80B" w14:textId="77777777" w:rsidR="003F307E" w:rsidRPr="00441526" w:rsidRDefault="003F307E" w:rsidP="00B64A60">
      <w:pPr>
        <w:rPr>
          <w:lang w:val="en-NZ"/>
        </w:rPr>
      </w:pPr>
    </w:p>
    <w:p w14:paraId="2E0E676F" w14:textId="77777777" w:rsidR="00654896" w:rsidRPr="00441526" w:rsidRDefault="00654896" w:rsidP="00B64A60">
      <w:pPr>
        <w:rPr>
          <w:b/>
          <w:lang w:val="en-NZ"/>
        </w:rPr>
      </w:pPr>
    </w:p>
    <w:p w14:paraId="2E0E6770" w14:textId="77777777" w:rsidR="00B64A60" w:rsidRPr="00710333" w:rsidRDefault="00B64A60" w:rsidP="00B64A60">
      <w:pPr>
        <w:jc w:val="center"/>
        <w:rPr>
          <w:snapToGrid w:val="0"/>
          <w:lang w:val="en-NZ"/>
        </w:rPr>
      </w:pPr>
      <w:r w:rsidRPr="00441526">
        <w:rPr>
          <w:lang w:val="en-NZ"/>
        </w:rPr>
        <w:t>____________</w:t>
      </w:r>
    </w:p>
    <w:p w14:paraId="2E0E6771" w14:textId="77777777" w:rsidR="00930E64" w:rsidRPr="007673CA" w:rsidRDefault="00930E64" w:rsidP="00D13D9D">
      <w:pPr>
        <w:jc w:val="both"/>
        <w:rPr>
          <w:lang w:val="en-NZ"/>
        </w:rPr>
      </w:pPr>
    </w:p>
    <w:sectPr w:rsidR="00930E64" w:rsidRPr="007673CA"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4A643" w14:textId="77777777" w:rsidR="00844C14" w:rsidRDefault="00844C14">
      <w:r>
        <w:separator/>
      </w:r>
    </w:p>
  </w:endnote>
  <w:endnote w:type="continuationSeparator" w:id="0">
    <w:p w14:paraId="40763EB4" w14:textId="77777777" w:rsidR="00844C14" w:rsidRDefault="0084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BatangChe">
    <w:altName w:val="Times New Roman"/>
    <w:panose1 w:val="02030609000101010101"/>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2DE7A871" w:rsidR="0097693B" w:rsidRDefault="002F0769" w:rsidP="002F0769">
    <w:pPr>
      <w:pStyle w:val="Footer"/>
      <w:ind w:right="360"/>
    </w:pPr>
    <w:r>
      <w:rPr>
        <w:rFonts w:hint="eastAsia"/>
        <w:lang w:eastAsia="ko-KR"/>
      </w:rPr>
      <w:t>A</w:t>
    </w:r>
    <w:r>
      <w:rPr>
        <w:lang w:eastAsia="ko-KR"/>
      </w:rPr>
      <w:t>PG19-3/OUT-21</w:t>
    </w:r>
    <w:r w:rsidRPr="002C7EA9">
      <w:rPr>
        <w:rStyle w:val="PageNumber"/>
      </w:rPr>
      <w:t xml:space="preserve"> </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F6F0C">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3F6F0C">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76" w:type="dxa"/>
      <w:tblInd w:w="43"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84"/>
      <w:gridCol w:w="4897"/>
      <w:gridCol w:w="3095"/>
    </w:tblGrid>
    <w:tr w:rsidR="00B91169" w:rsidRPr="0092727B" w14:paraId="272201BF" w14:textId="77777777" w:rsidTr="001335E2">
      <w:trPr>
        <w:trHeight w:val="461"/>
      </w:trPr>
      <w:tc>
        <w:tcPr>
          <w:tcW w:w="1284" w:type="dxa"/>
          <w:tcBorders>
            <w:top w:val="single" w:sz="8" w:space="0" w:color="auto"/>
            <w:bottom w:val="nil"/>
            <w:right w:val="nil"/>
          </w:tcBorders>
        </w:tcPr>
        <w:p w14:paraId="1D06409B" w14:textId="77777777" w:rsidR="00B91169" w:rsidRDefault="00B91169" w:rsidP="00B91169">
          <w:pPr>
            <w:pStyle w:val="Footer"/>
            <w:tabs>
              <w:tab w:val="clear" w:pos="4320"/>
              <w:tab w:val="clear" w:pos="8640"/>
            </w:tabs>
            <w:rPr>
              <w:sz w:val="16"/>
              <w:szCs w:val="16"/>
            </w:rPr>
          </w:pPr>
          <w:r>
            <w:rPr>
              <w:b/>
              <w:bCs/>
            </w:rPr>
            <w:t>Contact:</w:t>
          </w:r>
        </w:p>
      </w:tc>
      <w:tc>
        <w:tcPr>
          <w:tcW w:w="4897" w:type="dxa"/>
          <w:tcBorders>
            <w:top w:val="single" w:sz="8" w:space="0" w:color="auto"/>
            <w:left w:val="nil"/>
            <w:bottom w:val="nil"/>
            <w:right w:val="nil"/>
          </w:tcBorders>
        </w:tcPr>
        <w:p w14:paraId="13E93714" w14:textId="6F2BF82B" w:rsidR="00B91169" w:rsidRDefault="003F6F0C" w:rsidP="00B91169">
          <w:pPr>
            <w:pStyle w:val="Footer"/>
            <w:tabs>
              <w:tab w:val="clear" w:pos="4320"/>
              <w:tab w:val="clear" w:pos="8640"/>
            </w:tabs>
          </w:pPr>
          <w:r>
            <w:rPr>
              <w:lang w:eastAsia="ko-KR"/>
            </w:rPr>
            <w:t>MR. BUI HA LONG</w:t>
          </w:r>
        </w:p>
        <w:p w14:paraId="74F2B9A7" w14:textId="77777777" w:rsidR="00B91169" w:rsidRPr="002A0111" w:rsidRDefault="00B91169" w:rsidP="00B91169">
          <w:pPr>
            <w:pStyle w:val="Footer"/>
            <w:tabs>
              <w:tab w:val="clear" w:pos="4320"/>
              <w:tab w:val="clear" w:pos="8640"/>
            </w:tabs>
          </w:pPr>
          <w:r>
            <w:t>Chairman, WP 5</w:t>
          </w:r>
        </w:p>
      </w:tc>
      <w:tc>
        <w:tcPr>
          <w:tcW w:w="3095" w:type="dxa"/>
          <w:tcBorders>
            <w:top w:val="single" w:sz="8" w:space="0" w:color="auto"/>
            <w:left w:val="nil"/>
            <w:bottom w:val="nil"/>
          </w:tcBorders>
        </w:tcPr>
        <w:p w14:paraId="1EC92F23" w14:textId="54B0896A" w:rsidR="00B91169" w:rsidRPr="0092727B" w:rsidRDefault="00B91169" w:rsidP="00B91169">
          <w:pPr>
            <w:pStyle w:val="Footer"/>
            <w:tabs>
              <w:tab w:val="clear" w:pos="4320"/>
              <w:tab w:val="clear" w:pos="8640"/>
            </w:tabs>
          </w:pPr>
          <w:r>
            <w:t xml:space="preserve">E-mail: </w:t>
          </w:r>
          <w:hyperlink r:id="rId1" w:history="1">
            <w:r w:rsidR="003F6F0C" w:rsidRPr="00C03814">
              <w:rPr>
                <w:rStyle w:val="Hyperlink"/>
              </w:rPr>
              <w:t>longbh@rfd.gov.vn</w:t>
            </w:r>
          </w:hyperlink>
          <w:r w:rsidR="003F6F0C">
            <w:t xml:space="preserve"> </w:t>
          </w:r>
        </w:p>
      </w:tc>
    </w:tr>
  </w:tbl>
  <w:p w14:paraId="2E0E6781" w14:textId="77777777" w:rsidR="0097693B" w:rsidRPr="00B91169" w:rsidRDefault="0097693B" w:rsidP="00B91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FAA06" w14:textId="77777777" w:rsidR="00844C14" w:rsidRDefault="00844C14">
      <w:r>
        <w:separator/>
      </w:r>
    </w:p>
  </w:footnote>
  <w:footnote w:type="continuationSeparator" w:id="0">
    <w:p w14:paraId="08661963" w14:textId="77777777" w:rsidR="00844C14" w:rsidRDefault="00844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62311DA9"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21F"/>
    <w:multiLevelType w:val="hybridMultilevel"/>
    <w:tmpl w:val="6062023A"/>
    <w:lvl w:ilvl="0" w:tplc="26387F42">
      <w:start w:val="1"/>
      <w:numFmt w:val="bullet"/>
      <w:lvlText w:val="−"/>
      <w:lvlJc w:val="left"/>
      <w:pPr>
        <w:ind w:left="840" w:hanging="420"/>
      </w:pPr>
      <w:rPr>
        <w:rFonts w:ascii="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2E794F"/>
    <w:multiLevelType w:val="hybridMultilevel"/>
    <w:tmpl w:val="5DB440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A916381"/>
    <w:multiLevelType w:val="hybridMultilevel"/>
    <w:tmpl w:val="3C98FE82"/>
    <w:lvl w:ilvl="0" w:tplc="07629780">
      <w:start w:val="1"/>
      <w:numFmt w:val="bullet"/>
      <w:lvlText w:val="-"/>
      <w:lvlJc w:val="left"/>
      <w:pPr>
        <w:ind w:left="800" w:hanging="400"/>
      </w:pPr>
      <w:rPr>
        <w:rFonts w:ascii="Sylfaen" w:hAnsi="Sylfae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40995DFE"/>
    <w:multiLevelType w:val="hybridMultilevel"/>
    <w:tmpl w:val="5F20BAD4"/>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87478"/>
    <w:multiLevelType w:val="hybridMultilevel"/>
    <w:tmpl w:val="D144C162"/>
    <w:lvl w:ilvl="0" w:tplc="4636D17E">
      <w:start w:val="1"/>
      <w:numFmt w:val="bullet"/>
      <w:lvlText w:val="o"/>
      <w:lvlJc w:val="left"/>
      <w:pPr>
        <w:tabs>
          <w:tab w:val="num" w:pos="720"/>
        </w:tabs>
        <w:ind w:left="720" w:hanging="360"/>
      </w:pPr>
      <w:rPr>
        <w:rFonts w:ascii="Courier New" w:hAnsi="Courier New" w:hint="default"/>
      </w:rPr>
    </w:lvl>
    <w:lvl w:ilvl="1" w:tplc="7200CAFC">
      <w:start w:val="1"/>
      <w:numFmt w:val="bullet"/>
      <w:lvlText w:val="o"/>
      <w:lvlJc w:val="left"/>
      <w:pPr>
        <w:tabs>
          <w:tab w:val="num" w:pos="1440"/>
        </w:tabs>
        <w:ind w:left="1440" w:hanging="360"/>
      </w:pPr>
      <w:rPr>
        <w:rFonts w:ascii="Courier New" w:hAnsi="Courier New" w:hint="default"/>
      </w:rPr>
    </w:lvl>
    <w:lvl w:ilvl="2" w:tplc="C0F4C79C" w:tentative="1">
      <w:start w:val="1"/>
      <w:numFmt w:val="bullet"/>
      <w:lvlText w:val="o"/>
      <w:lvlJc w:val="left"/>
      <w:pPr>
        <w:tabs>
          <w:tab w:val="num" w:pos="2160"/>
        </w:tabs>
        <w:ind w:left="2160" w:hanging="360"/>
      </w:pPr>
      <w:rPr>
        <w:rFonts w:ascii="Courier New" w:hAnsi="Courier New" w:hint="default"/>
      </w:rPr>
    </w:lvl>
    <w:lvl w:ilvl="3" w:tplc="454CDF3E" w:tentative="1">
      <w:start w:val="1"/>
      <w:numFmt w:val="bullet"/>
      <w:lvlText w:val="o"/>
      <w:lvlJc w:val="left"/>
      <w:pPr>
        <w:tabs>
          <w:tab w:val="num" w:pos="2880"/>
        </w:tabs>
        <w:ind w:left="2880" w:hanging="360"/>
      </w:pPr>
      <w:rPr>
        <w:rFonts w:ascii="Courier New" w:hAnsi="Courier New" w:hint="default"/>
      </w:rPr>
    </w:lvl>
    <w:lvl w:ilvl="4" w:tplc="11AEB594" w:tentative="1">
      <w:start w:val="1"/>
      <w:numFmt w:val="bullet"/>
      <w:lvlText w:val="o"/>
      <w:lvlJc w:val="left"/>
      <w:pPr>
        <w:tabs>
          <w:tab w:val="num" w:pos="3600"/>
        </w:tabs>
        <w:ind w:left="3600" w:hanging="360"/>
      </w:pPr>
      <w:rPr>
        <w:rFonts w:ascii="Courier New" w:hAnsi="Courier New" w:hint="default"/>
      </w:rPr>
    </w:lvl>
    <w:lvl w:ilvl="5" w:tplc="74C8C260" w:tentative="1">
      <w:start w:val="1"/>
      <w:numFmt w:val="bullet"/>
      <w:lvlText w:val="o"/>
      <w:lvlJc w:val="left"/>
      <w:pPr>
        <w:tabs>
          <w:tab w:val="num" w:pos="4320"/>
        </w:tabs>
        <w:ind w:left="4320" w:hanging="360"/>
      </w:pPr>
      <w:rPr>
        <w:rFonts w:ascii="Courier New" w:hAnsi="Courier New" w:hint="default"/>
      </w:rPr>
    </w:lvl>
    <w:lvl w:ilvl="6" w:tplc="7478859C" w:tentative="1">
      <w:start w:val="1"/>
      <w:numFmt w:val="bullet"/>
      <w:lvlText w:val="o"/>
      <w:lvlJc w:val="left"/>
      <w:pPr>
        <w:tabs>
          <w:tab w:val="num" w:pos="5040"/>
        </w:tabs>
        <w:ind w:left="5040" w:hanging="360"/>
      </w:pPr>
      <w:rPr>
        <w:rFonts w:ascii="Courier New" w:hAnsi="Courier New" w:hint="default"/>
      </w:rPr>
    </w:lvl>
    <w:lvl w:ilvl="7" w:tplc="31C248EA" w:tentative="1">
      <w:start w:val="1"/>
      <w:numFmt w:val="bullet"/>
      <w:lvlText w:val="o"/>
      <w:lvlJc w:val="left"/>
      <w:pPr>
        <w:tabs>
          <w:tab w:val="num" w:pos="5760"/>
        </w:tabs>
        <w:ind w:left="5760" w:hanging="360"/>
      </w:pPr>
      <w:rPr>
        <w:rFonts w:ascii="Courier New" w:hAnsi="Courier New" w:hint="default"/>
      </w:rPr>
    </w:lvl>
    <w:lvl w:ilvl="8" w:tplc="C7E4005A"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8"/>
  </w:num>
  <w:num w:numId="3">
    <w:abstractNumId w:val="7"/>
  </w:num>
  <w:num w:numId="4">
    <w:abstractNumId w:val="21"/>
  </w:num>
  <w:num w:numId="5">
    <w:abstractNumId w:val="11"/>
  </w:num>
  <w:num w:numId="6">
    <w:abstractNumId w:val="13"/>
  </w:num>
  <w:num w:numId="7">
    <w:abstractNumId w:val="5"/>
  </w:num>
  <w:num w:numId="8">
    <w:abstractNumId w:val="3"/>
  </w:num>
  <w:num w:numId="9">
    <w:abstractNumId w:val="24"/>
  </w:num>
  <w:num w:numId="10">
    <w:abstractNumId w:val="20"/>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5"/>
  </w:num>
  <w:num w:numId="17">
    <w:abstractNumId w:val="19"/>
  </w:num>
  <w:num w:numId="18">
    <w:abstractNumId w:val="15"/>
  </w:num>
  <w:num w:numId="19">
    <w:abstractNumId w:val="23"/>
  </w:num>
  <w:num w:numId="20">
    <w:abstractNumId w:val="10"/>
  </w:num>
  <w:num w:numId="21">
    <w:abstractNumId w:val="22"/>
  </w:num>
  <w:num w:numId="22">
    <w:abstractNumId w:val="26"/>
  </w:num>
  <w:num w:numId="23">
    <w:abstractNumId w:val="0"/>
  </w:num>
  <w:num w:numId="24">
    <w:abstractNumId w:val="0"/>
  </w:num>
  <w:num w:numId="25">
    <w:abstractNumId w:val="2"/>
  </w:num>
  <w:num w:numId="26">
    <w:abstractNumId w:val="16"/>
  </w:num>
  <w:num w:numId="27">
    <w:abstractNumId w:val="14"/>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1CAE"/>
    <w:rsid w:val="0003595B"/>
    <w:rsid w:val="00036517"/>
    <w:rsid w:val="00036CC9"/>
    <w:rsid w:val="00040149"/>
    <w:rsid w:val="00070642"/>
    <w:rsid w:val="000713CF"/>
    <w:rsid w:val="00075C14"/>
    <w:rsid w:val="000822B5"/>
    <w:rsid w:val="00094B87"/>
    <w:rsid w:val="000A012B"/>
    <w:rsid w:val="000A5418"/>
    <w:rsid w:val="000F345F"/>
    <w:rsid w:val="000F517C"/>
    <w:rsid w:val="000F5540"/>
    <w:rsid w:val="00105F1A"/>
    <w:rsid w:val="0012452D"/>
    <w:rsid w:val="00125FBD"/>
    <w:rsid w:val="001409B2"/>
    <w:rsid w:val="00152636"/>
    <w:rsid w:val="001539DD"/>
    <w:rsid w:val="00156782"/>
    <w:rsid w:val="00165F01"/>
    <w:rsid w:val="001731F4"/>
    <w:rsid w:val="001916F2"/>
    <w:rsid w:val="001930A7"/>
    <w:rsid w:val="00196568"/>
    <w:rsid w:val="00197C18"/>
    <w:rsid w:val="001A2F16"/>
    <w:rsid w:val="001B1804"/>
    <w:rsid w:val="001B18C2"/>
    <w:rsid w:val="001C443F"/>
    <w:rsid w:val="001C61A5"/>
    <w:rsid w:val="001C6707"/>
    <w:rsid w:val="001D5D7E"/>
    <w:rsid w:val="001D7040"/>
    <w:rsid w:val="001F5947"/>
    <w:rsid w:val="00202410"/>
    <w:rsid w:val="00204B88"/>
    <w:rsid w:val="00214A0C"/>
    <w:rsid w:val="0021588B"/>
    <w:rsid w:val="002161B6"/>
    <w:rsid w:val="002216AC"/>
    <w:rsid w:val="002475E2"/>
    <w:rsid w:val="002506D2"/>
    <w:rsid w:val="00250DE2"/>
    <w:rsid w:val="00254A1B"/>
    <w:rsid w:val="0026064A"/>
    <w:rsid w:val="00264566"/>
    <w:rsid w:val="002734CA"/>
    <w:rsid w:val="0028454D"/>
    <w:rsid w:val="00291C9E"/>
    <w:rsid w:val="002926D4"/>
    <w:rsid w:val="0029734E"/>
    <w:rsid w:val="002A3CF5"/>
    <w:rsid w:val="002B06A3"/>
    <w:rsid w:val="002B435C"/>
    <w:rsid w:val="002B447F"/>
    <w:rsid w:val="002C07DA"/>
    <w:rsid w:val="002C2A49"/>
    <w:rsid w:val="002C7EA9"/>
    <w:rsid w:val="002F0769"/>
    <w:rsid w:val="002F575D"/>
    <w:rsid w:val="003113D7"/>
    <w:rsid w:val="00311E8A"/>
    <w:rsid w:val="00342F20"/>
    <w:rsid w:val="00360377"/>
    <w:rsid w:val="00366548"/>
    <w:rsid w:val="003679D3"/>
    <w:rsid w:val="0038005B"/>
    <w:rsid w:val="003809C7"/>
    <w:rsid w:val="0038236C"/>
    <w:rsid w:val="00393DCD"/>
    <w:rsid w:val="00395B40"/>
    <w:rsid w:val="003A2006"/>
    <w:rsid w:val="003A6568"/>
    <w:rsid w:val="003B4FD1"/>
    <w:rsid w:val="003B6263"/>
    <w:rsid w:val="003C29E6"/>
    <w:rsid w:val="003C64A7"/>
    <w:rsid w:val="003D1128"/>
    <w:rsid w:val="003D1671"/>
    <w:rsid w:val="003D3FDA"/>
    <w:rsid w:val="003D6D00"/>
    <w:rsid w:val="003E166F"/>
    <w:rsid w:val="003F307E"/>
    <w:rsid w:val="003F6F0C"/>
    <w:rsid w:val="004001E5"/>
    <w:rsid w:val="0041313C"/>
    <w:rsid w:val="00420822"/>
    <w:rsid w:val="00420C74"/>
    <w:rsid w:val="00441526"/>
    <w:rsid w:val="004465AA"/>
    <w:rsid w:val="00446A5E"/>
    <w:rsid w:val="0045458F"/>
    <w:rsid w:val="004633B4"/>
    <w:rsid w:val="0049492F"/>
    <w:rsid w:val="00495CED"/>
    <w:rsid w:val="004A2F96"/>
    <w:rsid w:val="004B3553"/>
    <w:rsid w:val="004B3F4B"/>
    <w:rsid w:val="004C2784"/>
    <w:rsid w:val="004E1FCA"/>
    <w:rsid w:val="004E47D6"/>
    <w:rsid w:val="004F34D7"/>
    <w:rsid w:val="00503189"/>
    <w:rsid w:val="0050409D"/>
    <w:rsid w:val="00526D01"/>
    <w:rsid w:val="00530E8C"/>
    <w:rsid w:val="00535D34"/>
    <w:rsid w:val="005365DD"/>
    <w:rsid w:val="00545933"/>
    <w:rsid w:val="00552105"/>
    <w:rsid w:val="005562F2"/>
    <w:rsid w:val="00557544"/>
    <w:rsid w:val="00565BBB"/>
    <w:rsid w:val="00585F3C"/>
    <w:rsid w:val="00586CA0"/>
    <w:rsid w:val="00587875"/>
    <w:rsid w:val="005A63EB"/>
    <w:rsid w:val="005A730A"/>
    <w:rsid w:val="005B0876"/>
    <w:rsid w:val="005C33B6"/>
    <w:rsid w:val="005D6202"/>
    <w:rsid w:val="005D6E98"/>
    <w:rsid w:val="00607E2B"/>
    <w:rsid w:val="006139D6"/>
    <w:rsid w:val="00616D1B"/>
    <w:rsid w:val="00623CE1"/>
    <w:rsid w:val="00627880"/>
    <w:rsid w:val="0063062B"/>
    <w:rsid w:val="00634A82"/>
    <w:rsid w:val="00637351"/>
    <w:rsid w:val="00642A26"/>
    <w:rsid w:val="00646166"/>
    <w:rsid w:val="00654896"/>
    <w:rsid w:val="006621F0"/>
    <w:rsid w:val="006647BA"/>
    <w:rsid w:val="00667229"/>
    <w:rsid w:val="0067456F"/>
    <w:rsid w:val="00682BE5"/>
    <w:rsid w:val="00683846"/>
    <w:rsid w:val="00690FED"/>
    <w:rsid w:val="006939A5"/>
    <w:rsid w:val="00693C7A"/>
    <w:rsid w:val="006D5223"/>
    <w:rsid w:val="006E12FC"/>
    <w:rsid w:val="006F0F24"/>
    <w:rsid w:val="006F1127"/>
    <w:rsid w:val="006F2B2E"/>
    <w:rsid w:val="006F6A5C"/>
    <w:rsid w:val="00703F6F"/>
    <w:rsid w:val="007052B3"/>
    <w:rsid w:val="00705962"/>
    <w:rsid w:val="007074AC"/>
    <w:rsid w:val="00707C21"/>
    <w:rsid w:val="00712451"/>
    <w:rsid w:val="00717DE9"/>
    <w:rsid w:val="0072518B"/>
    <w:rsid w:val="00731041"/>
    <w:rsid w:val="007329E4"/>
    <w:rsid w:val="00732F08"/>
    <w:rsid w:val="007342F0"/>
    <w:rsid w:val="0074190C"/>
    <w:rsid w:val="0075493D"/>
    <w:rsid w:val="00762576"/>
    <w:rsid w:val="007673CA"/>
    <w:rsid w:val="00791060"/>
    <w:rsid w:val="007926EA"/>
    <w:rsid w:val="007B5626"/>
    <w:rsid w:val="007B6124"/>
    <w:rsid w:val="007D3C53"/>
    <w:rsid w:val="007E3A0F"/>
    <w:rsid w:val="007F1545"/>
    <w:rsid w:val="007F2628"/>
    <w:rsid w:val="007F2FBA"/>
    <w:rsid w:val="00800C3A"/>
    <w:rsid w:val="0080570B"/>
    <w:rsid w:val="008148E1"/>
    <w:rsid w:val="008319BF"/>
    <w:rsid w:val="008347C0"/>
    <w:rsid w:val="008415F0"/>
    <w:rsid w:val="008433C2"/>
    <w:rsid w:val="00844457"/>
    <w:rsid w:val="00844C14"/>
    <w:rsid w:val="008454C8"/>
    <w:rsid w:val="00851D78"/>
    <w:rsid w:val="008A016F"/>
    <w:rsid w:val="008A1A0D"/>
    <w:rsid w:val="008A72E1"/>
    <w:rsid w:val="008A76ED"/>
    <w:rsid w:val="008B3C72"/>
    <w:rsid w:val="008D0E09"/>
    <w:rsid w:val="008D5101"/>
    <w:rsid w:val="00903007"/>
    <w:rsid w:val="00923816"/>
    <w:rsid w:val="0093074B"/>
    <w:rsid w:val="00930E64"/>
    <w:rsid w:val="00943CF9"/>
    <w:rsid w:val="00956F8C"/>
    <w:rsid w:val="00961D57"/>
    <w:rsid w:val="00976716"/>
    <w:rsid w:val="0097693B"/>
    <w:rsid w:val="00984317"/>
    <w:rsid w:val="00993355"/>
    <w:rsid w:val="009963F7"/>
    <w:rsid w:val="009A11CB"/>
    <w:rsid w:val="009A4A6D"/>
    <w:rsid w:val="009B0686"/>
    <w:rsid w:val="009B44DD"/>
    <w:rsid w:val="009B7E42"/>
    <w:rsid w:val="009D3B3C"/>
    <w:rsid w:val="009D46CE"/>
    <w:rsid w:val="009D4ADA"/>
    <w:rsid w:val="009E13DD"/>
    <w:rsid w:val="009F547A"/>
    <w:rsid w:val="00A0503B"/>
    <w:rsid w:val="00A059CD"/>
    <w:rsid w:val="00A13265"/>
    <w:rsid w:val="00A14900"/>
    <w:rsid w:val="00A2159F"/>
    <w:rsid w:val="00A529BC"/>
    <w:rsid w:val="00A5346C"/>
    <w:rsid w:val="00A53F51"/>
    <w:rsid w:val="00A562F0"/>
    <w:rsid w:val="00A564FB"/>
    <w:rsid w:val="00A614C1"/>
    <w:rsid w:val="00A61EA6"/>
    <w:rsid w:val="00A65170"/>
    <w:rsid w:val="00A657BF"/>
    <w:rsid w:val="00A71136"/>
    <w:rsid w:val="00A92578"/>
    <w:rsid w:val="00AA474C"/>
    <w:rsid w:val="00AC35EF"/>
    <w:rsid w:val="00AC4D5B"/>
    <w:rsid w:val="00AD1DDB"/>
    <w:rsid w:val="00AD2697"/>
    <w:rsid w:val="00AD7E5F"/>
    <w:rsid w:val="00AE3066"/>
    <w:rsid w:val="00AF4257"/>
    <w:rsid w:val="00AF68E4"/>
    <w:rsid w:val="00AF7685"/>
    <w:rsid w:val="00B00A87"/>
    <w:rsid w:val="00B01AA1"/>
    <w:rsid w:val="00B06025"/>
    <w:rsid w:val="00B30C81"/>
    <w:rsid w:val="00B30DA1"/>
    <w:rsid w:val="00B47374"/>
    <w:rsid w:val="00B4793B"/>
    <w:rsid w:val="00B56099"/>
    <w:rsid w:val="00B606AC"/>
    <w:rsid w:val="00B62AE9"/>
    <w:rsid w:val="00B64A60"/>
    <w:rsid w:val="00B66283"/>
    <w:rsid w:val="00B91169"/>
    <w:rsid w:val="00B937D7"/>
    <w:rsid w:val="00B96B67"/>
    <w:rsid w:val="00BA6A5D"/>
    <w:rsid w:val="00BC57EF"/>
    <w:rsid w:val="00BC69DB"/>
    <w:rsid w:val="00BE6B6B"/>
    <w:rsid w:val="00BF25F9"/>
    <w:rsid w:val="00C13FD5"/>
    <w:rsid w:val="00C15633"/>
    <w:rsid w:val="00C15799"/>
    <w:rsid w:val="00C32E84"/>
    <w:rsid w:val="00C35415"/>
    <w:rsid w:val="00C357AD"/>
    <w:rsid w:val="00C51C5F"/>
    <w:rsid w:val="00C554CC"/>
    <w:rsid w:val="00C6069C"/>
    <w:rsid w:val="00C70477"/>
    <w:rsid w:val="00C74745"/>
    <w:rsid w:val="00C85119"/>
    <w:rsid w:val="00C95C48"/>
    <w:rsid w:val="00CC7095"/>
    <w:rsid w:val="00CD170C"/>
    <w:rsid w:val="00CD320B"/>
    <w:rsid w:val="00CD3F37"/>
    <w:rsid w:val="00CD5431"/>
    <w:rsid w:val="00CE4B93"/>
    <w:rsid w:val="00CF2491"/>
    <w:rsid w:val="00CF3963"/>
    <w:rsid w:val="00D03053"/>
    <w:rsid w:val="00D1252E"/>
    <w:rsid w:val="00D13D9D"/>
    <w:rsid w:val="00D416A3"/>
    <w:rsid w:val="00D459A2"/>
    <w:rsid w:val="00D530FF"/>
    <w:rsid w:val="00D53688"/>
    <w:rsid w:val="00D5407A"/>
    <w:rsid w:val="00D57772"/>
    <w:rsid w:val="00D72AE3"/>
    <w:rsid w:val="00D75A4D"/>
    <w:rsid w:val="00D8478B"/>
    <w:rsid w:val="00D86151"/>
    <w:rsid w:val="00D9172D"/>
    <w:rsid w:val="00D93DA9"/>
    <w:rsid w:val="00D97E84"/>
    <w:rsid w:val="00DA5641"/>
    <w:rsid w:val="00DA7595"/>
    <w:rsid w:val="00DB0A68"/>
    <w:rsid w:val="00DC43A3"/>
    <w:rsid w:val="00DC4CF3"/>
    <w:rsid w:val="00DC5C01"/>
    <w:rsid w:val="00DD7C09"/>
    <w:rsid w:val="00DE6735"/>
    <w:rsid w:val="00DF0EB4"/>
    <w:rsid w:val="00E0124F"/>
    <w:rsid w:val="00E5762A"/>
    <w:rsid w:val="00E612E2"/>
    <w:rsid w:val="00E674D3"/>
    <w:rsid w:val="00E70FD0"/>
    <w:rsid w:val="00E7309D"/>
    <w:rsid w:val="00E77C4B"/>
    <w:rsid w:val="00E9301F"/>
    <w:rsid w:val="00E9690A"/>
    <w:rsid w:val="00E97DC7"/>
    <w:rsid w:val="00EA01A8"/>
    <w:rsid w:val="00F000EF"/>
    <w:rsid w:val="00F2504E"/>
    <w:rsid w:val="00F252F4"/>
    <w:rsid w:val="00F2585B"/>
    <w:rsid w:val="00F4053F"/>
    <w:rsid w:val="00F516E7"/>
    <w:rsid w:val="00F57BF7"/>
    <w:rsid w:val="00F6263E"/>
    <w:rsid w:val="00F627C2"/>
    <w:rsid w:val="00F84067"/>
    <w:rsid w:val="00F9578E"/>
    <w:rsid w:val="00F96E59"/>
    <w:rsid w:val="00FA50B4"/>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E672F"/>
  <w15:docId w15:val="{63449EAD-F5A0-4599-96FA-61B9C7F1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ListParagraphChar">
    <w:name w:val="List Paragraph Char"/>
    <w:link w:val="ListParagraph"/>
    <w:uiPriority w:val="34"/>
    <w:locked/>
    <w:rsid w:val="005A730A"/>
    <w:rPr>
      <w:rFonts w:eastAsia="BatangChe"/>
      <w:sz w:val="24"/>
      <w:szCs w:val="24"/>
    </w:rPr>
  </w:style>
  <w:style w:type="paragraph" w:customStyle="1" w:styleId="paragraph">
    <w:name w:val="paragraph"/>
    <w:basedOn w:val="Normal"/>
    <w:rsid w:val="00D93DA9"/>
    <w:pPr>
      <w:spacing w:before="100" w:beforeAutospacing="1" w:after="100" w:afterAutospacing="1"/>
    </w:pPr>
    <w:rPr>
      <w:rFonts w:eastAsia="Times New Roman"/>
    </w:rPr>
  </w:style>
  <w:style w:type="table" w:styleId="TableGrid">
    <w:name w:val="Table Grid"/>
    <w:basedOn w:val="TableNormal"/>
    <w:uiPriority w:val="59"/>
    <w:rsid w:val="00B9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9495">
      <w:bodyDiv w:val="1"/>
      <w:marLeft w:val="0"/>
      <w:marRight w:val="0"/>
      <w:marTop w:val="0"/>
      <w:marBottom w:val="0"/>
      <w:divBdr>
        <w:top w:val="none" w:sz="0" w:space="0" w:color="auto"/>
        <w:left w:val="none" w:sz="0" w:space="0" w:color="auto"/>
        <w:bottom w:val="none" w:sz="0" w:space="0" w:color="auto"/>
        <w:right w:val="none" w:sz="0" w:space="0" w:color="auto"/>
      </w:divBdr>
      <w:divsChild>
        <w:div w:id="13070069">
          <w:marLeft w:val="1008"/>
          <w:marRight w:val="0"/>
          <w:marTop w:val="96"/>
          <w:marBottom w:val="0"/>
          <w:divBdr>
            <w:top w:val="none" w:sz="0" w:space="0" w:color="auto"/>
            <w:left w:val="none" w:sz="0" w:space="0" w:color="auto"/>
            <w:bottom w:val="none" w:sz="0" w:space="0" w:color="auto"/>
            <w:right w:val="none" w:sz="0" w:space="0" w:color="auto"/>
          </w:divBdr>
        </w:div>
        <w:div w:id="675886942">
          <w:marLeft w:val="1008"/>
          <w:marRight w:val="0"/>
          <w:marTop w:val="96"/>
          <w:marBottom w:val="0"/>
          <w:divBdr>
            <w:top w:val="none" w:sz="0" w:space="0" w:color="auto"/>
            <w:left w:val="none" w:sz="0" w:space="0" w:color="auto"/>
            <w:bottom w:val="none" w:sz="0" w:space="0" w:color="auto"/>
            <w:right w:val="none" w:sz="0" w:space="0" w:color="auto"/>
          </w:divBdr>
        </w:div>
      </w:divsChild>
    </w:div>
    <w:div w:id="537548925">
      <w:bodyDiv w:val="1"/>
      <w:marLeft w:val="0"/>
      <w:marRight w:val="0"/>
      <w:marTop w:val="0"/>
      <w:marBottom w:val="0"/>
      <w:divBdr>
        <w:top w:val="none" w:sz="0" w:space="0" w:color="auto"/>
        <w:left w:val="none" w:sz="0" w:space="0" w:color="auto"/>
        <w:bottom w:val="none" w:sz="0" w:space="0" w:color="auto"/>
        <w:right w:val="none" w:sz="0" w:space="0" w:color="auto"/>
      </w:divBdr>
    </w:div>
    <w:div w:id="1204947107">
      <w:bodyDiv w:val="1"/>
      <w:marLeft w:val="0"/>
      <w:marRight w:val="0"/>
      <w:marTop w:val="0"/>
      <w:marBottom w:val="0"/>
      <w:divBdr>
        <w:top w:val="none" w:sz="0" w:space="0" w:color="auto"/>
        <w:left w:val="none" w:sz="0" w:space="0" w:color="auto"/>
        <w:bottom w:val="none" w:sz="0" w:space="0" w:color="auto"/>
        <w:right w:val="none" w:sz="0" w:space="0" w:color="auto"/>
      </w:divBdr>
    </w:div>
    <w:div w:id="1389376626">
      <w:bodyDiv w:val="1"/>
      <w:marLeft w:val="0"/>
      <w:marRight w:val="0"/>
      <w:marTop w:val="0"/>
      <w:marBottom w:val="0"/>
      <w:divBdr>
        <w:top w:val="none" w:sz="0" w:space="0" w:color="auto"/>
        <w:left w:val="none" w:sz="0" w:space="0" w:color="auto"/>
        <w:bottom w:val="none" w:sz="0" w:space="0" w:color="auto"/>
        <w:right w:val="none" w:sz="0" w:space="0" w:color="auto"/>
      </w:divBdr>
    </w:div>
    <w:div w:id="143369793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3802375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dms_pub/itu-r/md/15/wp5a/c/R15-WP5A-C-0650!N04!MSW-E.docx" TargetMode="External"/><Relationship Id="rId4" Type="http://schemas.openxmlformats.org/officeDocument/2006/relationships/settings" Target="settings.xml"/><Relationship Id="rId9" Type="http://schemas.openxmlformats.org/officeDocument/2006/relationships/hyperlink" Target="https://www.itu.int/dms_pub/itu-r/md/15/wp5a/c/R15-WP5A-C-0650!N14!MSW-E.doc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5F0E-D5AB-49D8-9EDD-47C82447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1265</Words>
  <Characters>7213</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2015-02-02T07:28:00Z</cp:lastPrinted>
  <dcterms:created xsi:type="dcterms:W3CDTF">2018-03-16T04:42:00Z</dcterms:created>
  <dcterms:modified xsi:type="dcterms:W3CDTF">2018-03-20T03:37:00Z</dcterms:modified>
</cp:coreProperties>
</file>