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602721B8" w14:textId="77777777" w:rsidTr="00AB26DF">
        <w:trPr>
          <w:cantSplit/>
        </w:trPr>
        <w:tc>
          <w:tcPr>
            <w:tcW w:w="1399" w:type="dxa"/>
            <w:vMerge w:val="restart"/>
          </w:tcPr>
          <w:p w14:paraId="524900BB" w14:textId="77777777" w:rsidR="00CF3963" w:rsidRPr="00891D0B" w:rsidRDefault="00CF3963" w:rsidP="00AB26D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7E66E44" wp14:editId="1E20EB91">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5ADD8A7" w14:textId="77777777" w:rsidR="00CF3963" w:rsidRPr="00891D0B" w:rsidRDefault="00CF3963" w:rsidP="00AB26DF">
            <w:r w:rsidRPr="00096326">
              <w:t>ASIA-PACIFIC TELECOMMUNITY</w:t>
            </w:r>
          </w:p>
        </w:tc>
        <w:tc>
          <w:tcPr>
            <w:tcW w:w="2700" w:type="dxa"/>
          </w:tcPr>
          <w:p w14:paraId="095D6CE4" w14:textId="6B7D2B3A" w:rsidR="00CF3963" w:rsidRPr="00096326" w:rsidRDefault="00CF3963" w:rsidP="00AB26DF">
            <w:pPr>
              <w:rPr>
                <w:b/>
                <w:bCs/>
                <w:lang w:val="fr-FR"/>
              </w:rPr>
            </w:pPr>
            <w:r w:rsidRPr="00C15799">
              <w:rPr>
                <w:b/>
                <w:lang w:val="fr-FR"/>
              </w:rPr>
              <w:t>Document</w:t>
            </w:r>
            <w:r w:rsidR="00163109">
              <w:rPr>
                <w:b/>
                <w:lang w:val="fr-FR"/>
              </w:rPr>
              <w:t xml:space="preserve"> No.</w:t>
            </w:r>
            <w:r>
              <w:rPr>
                <w:b/>
                <w:lang w:val="fr-FR"/>
              </w:rPr>
              <w:t xml:space="preserve">: </w:t>
            </w:r>
          </w:p>
        </w:tc>
      </w:tr>
      <w:tr w:rsidR="00CF3963" w:rsidRPr="00C15799" w14:paraId="2CC973FC" w14:textId="77777777" w:rsidTr="00AB26DF">
        <w:trPr>
          <w:cantSplit/>
        </w:trPr>
        <w:tc>
          <w:tcPr>
            <w:tcW w:w="1399" w:type="dxa"/>
            <w:vMerge/>
          </w:tcPr>
          <w:p w14:paraId="58458734" w14:textId="77777777" w:rsidR="00CF3963" w:rsidRPr="00891D0B" w:rsidRDefault="00CF3963" w:rsidP="00AB26DF"/>
        </w:tc>
        <w:tc>
          <w:tcPr>
            <w:tcW w:w="5720" w:type="dxa"/>
          </w:tcPr>
          <w:p w14:paraId="7E60BD4A" w14:textId="77777777" w:rsidR="00CF3963" w:rsidRPr="00891D0B" w:rsidRDefault="00926067" w:rsidP="00AF00C4">
            <w:pPr>
              <w:spacing w:line="0" w:lineRule="atLeast"/>
            </w:pPr>
            <w:r>
              <w:rPr>
                <w:b/>
              </w:rPr>
              <w:t>The 3rd</w:t>
            </w:r>
            <w:r w:rsidR="00CF3963">
              <w:rPr>
                <w:b/>
              </w:rPr>
              <w:t xml:space="preserve"> Meeting of the APT Conference Preparatory  Group for WRC-19 (APG19-</w:t>
            </w:r>
            <w:r w:rsidR="00AF00C4">
              <w:rPr>
                <w:b/>
              </w:rPr>
              <w:t>3</w:t>
            </w:r>
            <w:r w:rsidR="00CF3963">
              <w:rPr>
                <w:b/>
              </w:rPr>
              <w:t>)</w:t>
            </w:r>
          </w:p>
        </w:tc>
        <w:tc>
          <w:tcPr>
            <w:tcW w:w="2700" w:type="dxa"/>
          </w:tcPr>
          <w:p w14:paraId="604AB332" w14:textId="5FE2DCE7" w:rsidR="00CF3963" w:rsidRPr="00C15799" w:rsidRDefault="00CF3963" w:rsidP="00506BF2">
            <w:pPr>
              <w:rPr>
                <w:b/>
                <w:bCs/>
                <w:lang w:val="fr-FR"/>
              </w:rPr>
            </w:pPr>
            <w:r>
              <w:rPr>
                <w:b/>
                <w:bCs/>
                <w:lang w:val="fr-FR"/>
              </w:rPr>
              <w:t>APG19-</w:t>
            </w:r>
            <w:r w:rsidR="0018711B">
              <w:rPr>
                <w:b/>
                <w:bCs/>
                <w:lang w:val="fr-FR"/>
              </w:rPr>
              <w:t>3</w:t>
            </w:r>
            <w:r>
              <w:rPr>
                <w:b/>
                <w:bCs/>
                <w:lang w:val="fr-FR"/>
              </w:rPr>
              <w:t>/</w:t>
            </w:r>
            <w:r w:rsidR="00A614BF">
              <w:rPr>
                <w:b/>
                <w:bCs/>
                <w:lang w:eastAsia="zh-CN"/>
              </w:rPr>
              <w:t>OUT</w:t>
            </w:r>
            <w:r w:rsidR="00487CCC">
              <w:rPr>
                <w:b/>
                <w:bCs/>
                <w:lang w:val="fr-FR"/>
              </w:rPr>
              <w:t>-</w:t>
            </w:r>
            <w:r w:rsidR="00A614BF">
              <w:rPr>
                <w:b/>
                <w:bCs/>
                <w:lang w:val="fr-FR"/>
              </w:rPr>
              <w:t>07</w:t>
            </w:r>
          </w:p>
        </w:tc>
      </w:tr>
      <w:tr w:rsidR="00CF3963" w:rsidRPr="00891D0B" w14:paraId="6E7FD4D5" w14:textId="77777777" w:rsidTr="00AB26DF">
        <w:trPr>
          <w:cantSplit/>
          <w:trHeight w:val="219"/>
        </w:trPr>
        <w:tc>
          <w:tcPr>
            <w:tcW w:w="1399" w:type="dxa"/>
            <w:vMerge/>
          </w:tcPr>
          <w:p w14:paraId="477356D3" w14:textId="77777777" w:rsidR="00CF3963" w:rsidRPr="00C15799" w:rsidRDefault="00CF3963" w:rsidP="00AB26DF">
            <w:pPr>
              <w:rPr>
                <w:lang w:val="fr-FR"/>
              </w:rPr>
            </w:pPr>
          </w:p>
        </w:tc>
        <w:tc>
          <w:tcPr>
            <w:tcW w:w="5720" w:type="dxa"/>
          </w:tcPr>
          <w:p w14:paraId="2ED6B30C" w14:textId="77777777" w:rsidR="00CF3963" w:rsidRPr="00891D0B" w:rsidRDefault="00926067" w:rsidP="00AB26DF">
            <w:r w:rsidRPr="00441526">
              <w:t>12 – 1</w:t>
            </w:r>
            <w:r>
              <w:t>6</w:t>
            </w:r>
            <w:r w:rsidRPr="00441526">
              <w:t xml:space="preserve"> March 2018, Perth, Australia</w:t>
            </w:r>
          </w:p>
        </w:tc>
        <w:tc>
          <w:tcPr>
            <w:tcW w:w="2700" w:type="dxa"/>
          </w:tcPr>
          <w:p w14:paraId="7D9F9764" w14:textId="73F294BC" w:rsidR="00CF3963" w:rsidRPr="00712451" w:rsidRDefault="0018711B" w:rsidP="006B444D">
            <w:pPr>
              <w:rPr>
                <w:b/>
              </w:rPr>
            </w:pPr>
            <w:r>
              <w:rPr>
                <w:b/>
              </w:rPr>
              <w:t>1</w:t>
            </w:r>
            <w:r w:rsidR="00A614BF">
              <w:rPr>
                <w:b/>
              </w:rPr>
              <w:t>6</w:t>
            </w:r>
            <w:r>
              <w:rPr>
                <w:b/>
              </w:rPr>
              <w:t xml:space="preserve"> March 2018</w:t>
            </w:r>
          </w:p>
        </w:tc>
      </w:tr>
    </w:tbl>
    <w:p w14:paraId="3914D2CF" w14:textId="77777777" w:rsidR="00930E64" w:rsidRPr="007673CA" w:rsidRDefault="00930E64" w:rsidP="00930E64">
      <w:pPr>
        <w:jc w:val="center"/>
        <w:rPr>
          <w:lang w:val="en-NZ"/>
        </w:rPr>
      </w:pPr>
    </w:p>
    <w:p w14:paraId="07A96175" w14:textId="77777777" w:rsidR="00A614BF" w:rsidRDefault="00A614BF" w:rsidP="003273CD">
      <w:pPr>
        <w:jc w:val="center"/>
        <w:rPr>
          <w:b/>
          <w:bCs/>
          <w:lang w:val="en-NZ" w:eastAsia="zh-CN"/>
        </w:rPr>
      </w:pPr>
    </w:p>
    <w:p w14:paraId="6EE82A89" w14:textId="5D7C6130" w:rsidR="003273CD" w:rsidRPr="00F81032" w:rsidRDefault="00A614BF" w:rsidP="003273CD">
      <w:pPr>
        <w:jc w:val="center"/>
        <w:rPr>
          <w:lang w:val="en-NZ"/>
        </w:rPr>
      </w:pPr>
      <w:r w:rsidRPr="00F81032">
        <w:rPr>
          <w:bCs/>
          <w:lang w:val="en-NZ" w:eastAsia="ko-KR"/>
        </w:rPr>
        <w:t>W</w:t>
      </w:r>
      <w:r w:rsidRPr="00F81032">
        <w:rPr>
          <w:bCs/>
          <w:lang w:eastAsia="zh-CN"/>
        </w:rPr>
        <w:t>orking Party 1</w:t>
      </w:r>
    </w:p>
    <w:p w14:paraId="3E5F6DB0" w14:textId="77777777" w:rsidR="003273CD" w:rsidRPr="003273CD" w:rsidRDefault="003273CD" w:rsidP="00B64A60">
      <w:pPr>
        <w:jc w:val="center"/>
        <w:rPr>
          <w:b/>
          <w:bCs/>
          <w:caps/>
          <w:lang w:val="en-NZ"/>
        </w:rPr>
      </w:pPr>
    </w:p>
    <w:p w14:paraId="6DFFDC97" w14:textId="080C7204" w:rsidR="00B64A60" w:rsidRPr="003273CD" w:rsidRDefault="00B64A60" w:rsidP="00B64A60">
      <w:pPr>
        <w:jc w:val="center"/>
        <w:rPr>
          <w:b/>
          <w:bCs/>
          <w:caps/>
          <w:lang w:val="en-NZ"/>
        </w:rPr>
      </w:pPr>
      <w:r w:rsidRPr="003273CD">
        <w:rPr>
          <w:b/>
          <w:bCs/>
          <w:caps/>
          <w:lang w:val="en-NZ"/>
        </w:rPr>
        <w:t>PRELIMINARY VIEWs on WRC-19 agenda item 1.</w:t>
      </w:r>
      <w:r w:rsidR="00E75714" w:rsidRPr="003273CD">
        <w:rPr>
          <w:b/>
          <w:bCs/>
          <w:caps/>
          <w:lang w:val="en-NZ"/>
        </w:rPr>
        <w:t>15</w:t>
      </w:r>
    </w:p>
    <w:p w14:paraId="0BBE7D07" w14:textId="77777777" w:rsidR="00B64A60" w:rsidRPr="003273CD" w:rsidRDefault="00B64A60" w:rsidP="00B64A60">
      <w:pPr>
        <w:rPr>
          <w:lang w:val="en-NZ"/>
        </w:rPr>
      </w:pPr>
    </w:p>
    <w:p w14:paraId="25CF25E0" w14:textId="77777777" w:rsidR="00B64A60" w:rsidRPr="00710333" w:rsidRDefault="00B64A60" w:rsidP="00AD43F0">
      <w:pPr>
        <w:rPr>
          <w:i/>
          <w:lang w:val="en-NZ"/>
        </w:rPr>
      </w:pPr>
      <w:r w:rsidRPr="00710333">
        <w:rPr>
          <w:b/>
          <w:lang w:val="en-NZ"/>
        </w:rPr>
        <w:t>Agenda Item 1.</w:t>
      </w:r>
      <w:r w:rsidR="00E75714">
        <w:rPr>
          <w:b/>
          <w:lang w:val="en-NZ"/>
        </w:rPr>
        <w:t>15</w:t>
      </w:r>
      <w:r w:rsidRPr="00710333">
        <w:rPr>
          <w:b/>
          <w:lang w:val="en-NZ"/>
        </w:rPr>
        <w:t xml:space="preserve">: </w:t>
      </w:r>
      <w:r w:rsidR="00E75714" w:rsidRPr="006C1EF2">
        <w:rPr>
          <w:i/>
        </w:rPr>
        <w:t xml:space="preserve">to consider identification of frequency bands for use by administrations for the land-mobile and fixed services applications operating in the frequency range 275-450 GHz, in accordance with Resolution </w:t>
      </w:r>
      <w:r w:rsidR="00E75714" w:rsidRPr="006C1EF2">
        <w:rPr>
          <w:b/>
          <w:i/>
        </w:rPr>
        <w:t>767 (WRC</w:t>
      </w:r>
      <w:r w:rsidR="00E75714">
        <w:rPr>
          <w:b/>
          <w:i/>
        </w:rPr>
        <w:t>-</w:t>
      </w:r>
      <w:r w:rsidR="00E75714" w:rsidRPr="006C1EF2">
        <w:rPr>
          <w:b/>
          <w:i/>
        </w:rPr>
        <w:t>15)</w:t>
      </w:r>
      <w:r w:rsidR="00E75714" w:rsidRPr="006C1EF2">
        <w:rPr>
          <w:i/>
        </w:rPr>
        <w:t>;</w:t>
      </w:r>
    </w:p>
    <w:p w14:paraId="16ECBBEC" w14:textId="77777777" w:rsidR="00E75714" w:rsidRPr="00710333" w:rsidRDefault="00E75714" w:rsidP="00AD43F0">
      <w:pPr>
        <w:rPr>
          <w:lang w:val="en-NZ"/>
        </w:rPr>
      </w:pPr>
    </w:p>
    <w:p w14:paraId="12F21365" w14:textId="77777777" w:rsidR="00B64A60" w:rsidRPr="00E75714" w:rsidRDefault="00B64A60" w:rsidP="00AD43F0">
      <w:pPr>
        <w:pStyle w:val="ListParagraph"/>
        <w:numPr>
          <w:ilvl w:val="0"/>
          <w:numId w:val="22"/>
        </w:numPr>
        <w:ind w:left="567" w:hanging="567"/>
        <w:rPr>
          <w:b/>
          <w:lang w:val="en-NZ" w:eastAsia="ko-KR"/>
        </w:rPr>
      </w:pPr>
      <w:r w:rsidRPr="00E75714">
        <w:rPr>
          <w:b/>
          <w:lang w:val="en-NZ" w:eastAsia="ko-KR"/>
        </w:rPr>
        <w:t>Background</w:t>
      </w:r>
    </w:p>
    <w:p w14:paraId="6BDEC82E" w14:textId="77777777" w:rsidR="00867C2E" w:rsidRDefault="00867C2E" w:rsidP="00AD43F0">
      <w:pPr>
        <w:ind w:left="720" w:hanging="153"/>
        <w:rPr>
          <w:lang w:eastAsia="ko-KR"/>
        </w:rPr>
      </w:pPr>
      <w:r w:rsidRPr="00DC7EFC">
        <w:rPr>
          <w:b/>
          <w:lang w:eastAsia="ko-KR"/>
        </w:rPr>
        <w:t>Resolution 767</w:t>
      </w:r>
      <w:r>
        <w:rPr>
          <w:lang w:eastAsia="ko-KR"/>
        </w:rPr>
        <w:t>, WRC-15 invites WRC-19:</w:t>
      </w:r>
    </w:p>
    <w:p w14:paraId="5CB27948" w14:textId="77777777" w:rsidR="00867C2E" w:rsidRDefault="00867C2E" w:rsidP="00AD43F0">
      <w:pPr>
        <w:pStyle w:val="ListParagraph"/>
        <w:numPr>
          <w:ilvl w:val="0"/>
          <w:numId w:val="23"/>
        </w:numPr>
        <w:ind w:left="993"/>
      </w:pPr>
      <w:r>
        <w:rPr>
          <w:lang w:eastAsia="ko-KR"/>
        </w:rPr>
        <w:t xml:space="preserve">taking into account the results of ITU-R studies on sharing and compatibility between passive and active services as well as spectrum needs for those services, to consider identification for use by administrations for the land-mobile and fixed service applications operating in the frequency range 275-450GHz, while maintaining protection of the passive services identified in </w:t>
      </w:r>
      <w:r w:rsidRPr="00DC7EFC">
        <w:rPr>
          <w:lang w:eastAsia="ko-KR"/>
        </w:rPr>
        <w:t>No.</w:t>
      </w:r>
      <w:r w:rsidRPr="00DC7EFC">
        <w:rPr>
          <w:b/>
          <w:lang w:eastAsia="ko-KR"/>
        </w:rPr>
        <w:t xml:space="preserve"> 5.565</w:t>
      </w:r>
      <w:r>
        <w:rPr>
          <w:lang w:eastAsia="ko-KR"/>
        </w:rPr>
        <w:t>, and take appropriate action.</w:t>
      </w:r>
    </w:p>
    <w:p w14:paraId="45E3A0A3" w14:textId="77777777" w:rsidR="00D908EE" w:rsidRPr="00B42FAC" w:rsidRDefault="00D908EE" w:rsidP="00AD43F0">
      <w:pPr>
        <w:spacing w:afterLines="20" w:after="48"/>
        <w:ind w:left="851"/>
        <w:rPr>
          <w:lang w:eastAsia="ko-KR"/>
        </w:rPr>
      </w:pPr>
    </w:p>
    <w:p w14:paraId="4896731E" w14:textId="77777777" w:rsidR="00F06E42" w:rsidRDefault="00695F63" w:rsidP="00AD43F0">
      <w:pPr>
        <w:ind w:firstLine="633"/>
        <w:rPr>
          <w:lang w:eastAsia="ko-KR"/>
        </w:rPr>
      </w:pPr>
      <w:r>
        <w:rPr>
          <w:lang w:eastAsia="ko-KR"/>
        </w:rPr>
        <w:t xml:space="preserve">Recent </w:t>
      </w:r>
      <w:r w:rsidR="00F06E42">
        <w:rPr>
          <w:lang w:eastAsia="ko-KR"/>
        </w:rPr>
        <w:t>ITU-R and APT reports and studies are as follows:</w:t>
      </w:r>
    </w:p>
    <w:p w14:paraId="4ECB20F0" w14:textId="77777777" w:rsidR="00F06E42" w:rsidRDefault="00F06E42" w:rsidP="00AD43F0">
      <w:pPr>
        <w:pStyle w:val="ListParagraph"/>
        <w:numPr>
          <w:ilvl w:val="0"/>
          <w:numId w:val="23"/>
        </w:numPr>
        <w:rPr>
          <w:lang w:eastAsia="ko-KR"/>
        </w:rPr>
      </w:pPr>
      <w:r>
        <w:rPr>
          <w:lang w:eastAsia="ko-KR"/>
        </w:rPr>
        <w:t>WP1A – Working Doc.: Draft CPM Text WRC-19 AI 1.15 (Doc.</w:t>
      </w:r>
      <w:hyperlink r:id="rId9" w:history="1">
        <w:r>
          <w:rPr>
            <w:rStyle w:val="Hyperlink"/>
            <w:lang w:eastAsia="ko-KR"/>
          </w:rPr>
          <w:t>1A/260</w:t>
        </w:r>
      </w:hyperlink>
      <w:r>
        <w:rPr>
          <w:lang w:eastAsia="ko-KR"/>
        </w:rPr>
        <w:t xml:space="preserve"> Annex 1)</w:t>
      </w:r>
    </w:p>
    <w:p w14:paraId="61BB6543" w14:textId="77777777" w:rsidR="00F06E42" w:rsidRDefault="00F06E42" w:rsidP="00AD43F0">
      <w:pPr>
        <w:pStyle w:val="ListParagraph"/>
        <w:numPr>
          <w:ilvl w:val="0"/>
          <w:numId w:val="23"/>
        </w:numPr>
        <w:rPr>
          <w:lang w:eastAsia="ko-KR"/>
        </w:rPr>
      </w:pPr>
      <w:r>
        <w:rPr>
          <w:lang w:eastAsia="ko-KR"/>
        </w:rPr>
        <w:t>WP1A – Working Doc.: Report ITU-R SM.[275-450GHZ_SHARING] (Doc.</w:t>
      </w:r>
      <w:r w:rsidRPr="00F06E42">
        <w:t xml:space="preserve"> </w:t>
      </w:r>
      <w:hyperlink r:id="rId10" w:history="1">
        <w:r>
          <w:rPr>
            <w:rStyle w:val="Hyperlink"/>
            <w:lang w:eastAsia="ko-KR"/>
          </w:rPr>
          <w:t>1A/260</w:t>
        </w:r>
      </w:hyperlink>
      <w:r>
        <w:rPr>
          <w:lang w:eastAsia="ko-KR"/>
        </w:rPr>
        <w:t xml:space="preserve"> Annex 3)</w:t>
      </w:r>
    </w:p>
    <w:p w14:paraId="6D289F84" w14:textId="77777777" w:rsidR="0034642C" w:rsidRPr="00CC142A" w:rsidRDefault="0034642C" w:rsidP="00AD43F0">
      <w:pPr>
        <w:pStyle w:val="ListParagraph"/>
        <w:numPr>
          <w:ilvl w:val="0"/>
          <w:numId w:val="23"/>
        </w:numPr>
        <w:rPr>
          <w:lang w:eastAsia="ko-KR"/>
        </w:rPr>
      </w:pPr>
      <w:r>
        <w:rPr>
          <w:lang w:eastAsia="ko-KR"/>
        </w:rPr>
        <w:t>WP7C – Report ITU-R RS. [275-450 GHZ CHARS] (Doc.</w:t>
      </w:r>
      <w:hyperlink r:id="rId11" w:history="1">
        <w:r>
          <w:rPr>
            <w:rStyle w:val="Hyperlink"/>
            <w:lang w:eastAsia="ko-KR"/>
          </w:rPr>
          <w:t>7C/200</w:t>
        </w:r>
      </w:hyperlink>
      <w:r w:rsidR="00346877" w:rsidRPr="00346877">
        <w:rPr>
          <w:rStyle w:val="Hyperlink"/>
          <w:u w:val="none"/>
          <w:lang w:eastAsia="ko-KR"/>
        </w:rPr>
        <w:t xml:space="preserve"> </w:t>
      </w:r>
      <w:r>
        <w:rPr>
          <w:lang w:eastAsia="ko-KR"/>
        </w:rPr>
        <w:t>Annex 16)</w:t>
      </w:r>
    </w:p>
    <w:p w14:paraId="4A7C8589" w14:textId="77777777" w:rsidR="00F06E42" w:rsidRPr="0034642C" w:rsidRDefault="00F06E42" w:rsidP="00AD43F0">
      <w:pPr>
        <w:pStyle w:val="ListParagraph"/>
        <w:numPr>
          <w:ilvl w:val="0"/>
          <w:numId w:val="23"/>
        </w:numPr>
        <w:rPr>
          <w:lang w:eastAsia="ko-KR"/>
        </w:rPr>
      </w:pPr>
      <w:r>
        <w:rPr>
          <w:lang w:eastAsia="ko-KR"/>
        </w:rPr>
        <w:t>Report ITU-R F.2416 “</w:t>
      </w:r>
      <w:r w:rsidRPr="0034642C">
        <w:rPr>
          <w:rFonts w:cs="Segoe UI"/>
          <w:color w:val="000000"/>
        </w:rPr>
        <w:t xml:space="preserve">Technical and operational characteristics and applications of the point-to-point fixed </w:t>
      </w:r>
      <w:r w:rsidRPr="0034642C">
        <w:rPr>
          <w:rFonts w:cs="Segoe UI"/>
        </w:rPr>
        <w:t>service applications operating in the frequency band 275-450 GHz</w:t>
      </w:r>
      <w:r w:rsidRPr="0034642C">
        <w:rPr>
          <w:lang w:eastAsia="ko-KR"/>
        </w:rPr>
        <w:t>”</w:t>
      </w:r>
      <w:r w:rsidR="0034642C" w:rsidRPr="0034642C">
        <w:rPr>
          <w:lang w:eastAsia="ko-KR"/>
        </w:rPr>
        <w:t xml:space="preserve"> </w:t>
      </w:r>
    </w:p>
    <w:p w14:paraId="261BB8E8" w14:textId="77777777" w:rsidR="00F06E42" w:rsidRPr="0034642C" w:rsidRDefault="00F06E42" w:rsidP="00AD43F0">
      <w:pPr>
        <w:pStyle w:val="ListParagraph"/>
        <w:numPr>
          <w:ilvl w:val="0"/>
          <w:numId w:val="23"/>
        </w:numPr>
        <w:rPr>
          <w:lang w:eastAsia="ko-KR"/>
        </w:rPr>
      </w:pPr>
      <w:r w:rsidRPr="0034642C">
        <w:rPr>
          <w:lang w:eastAsia="ko-KR"/>
        </w:rPr>
        <w:t>Report ITU-R M.2417 “</w:t>
      </w:r>
      <w:r w:rsidRPr="0034642C">
        <w:rPr>
          <w:rFonts w:cs="Segoe UI"/>
        </w:rPr>
        <w:t xml:space="preserve">Technical and operational </w:t>
      </w:r>
      <w:r>
        <w:rPr>
          <w:rFonts w:cs="Segoe UI"/>
          <w:color w:val="000000"/>
        </w:rPr>
        <w:t>characteristics of land-mobile service applications in the frequency range 275-450 GHz”</w:t>
      </w:r>
      <w:r w:rsidR="0034642C">
        <w:rPr>
          <w:rFonts w:cs="Segoe UI"/>
          <w:color w:val="000000"/>
        </w:rPr>
        <w:t xml:space="preserve"> </w:t>
      </w:r>
    </w:p>
    <w:p w14:paraId="1091517C" w14:textId="77777777" w:rsidR="00F06E42" w:rsidRPr="00695F63" w:rsidRDefault="00F06E42" w:rsidP="00AD43F0">
      <w:pPr>
        <w:pStyle w:val="ListParagraph"/>
        <w:numPr>
          <w:ilvl w:val="0"/>
          <w:numId w:val="23"/>
        </w:numPr>
      </w:pPr>
      <w:r w:rsidRPr="0034642C">
        <w:rPr>
          <w:lang w:eastAsia="ko-KR"/>
        </w:rPr>
        <w:t xml:space="preserve">AWG – </w:t>
      </w:r>
      <w:r w:rsidRPr="0034642C">
        <w:rPr>
          <w:rFonts w:eastAsia="MS Mincho"/>
          <w:lang w:eastAsia="ja-JP"/>
        </w:rPr>
        <w:t>APT Report on "Short Range Radiocommunication Systems and Application Scenarios Operating in the Frequency Range 275-1000GHz"’, Doc. APT/AWG/REP-66</w:t>
      </w:r>
    </w:p>
    <w:p w14:paraId="31EFB42D" w14:textId="77777777" w:rsidR="00695F63" w:rsidRDefault="00695F63" w:rsidP="00AD43F0">
      <w:pPr>
        <w:ind w:left="720"/>
      </w:pPr>
    </w:p>
    <w:p w14:paraId="53DFE9AE" w14:textId="77777777" w:rsidR="00695F63" w:rsidRPr="00617DDE" w:rsidRDefault="00475F23" w:rsidP="00AD43F0">
      <w:pPr>
        <w:ind w:left="720"/>
      </w:pPr>
      <w:r>
        <w:t xml:space="preserve">WP 1A developed a single </w:t>
      </w:r>
      <w:r w:rsidR="00695F63">
        <w:t xml:space="preserve">method </w:t>
      </w:r>
      <w:r w:rsidR="007A3858">
        <w:t xml:space="preserve">in </w:t>
      </w:r>
      <w:r w:rsidR="006A30E4">
        <w:rPr>
          <w:lang w:eastAsia="ko-KR"/>
        </w:rPr>
        <w:t>working document towards draft CPM text WRC-19 AI 1.15 (</w:t>
      </w:r>
      <w:r w:rsidR="007A3858">
        <w:rPr>
          <w:lang w:eastAsia="ko-KR"/>
        </w:rPr>
        <w:t>Doc.</w:t>
      </w:r>
      <w:hyperlink r:id="rId12" w:history="1">
        <w:r w:rsidR="007A3858">
          <w:rPr>
            <w:rStyle w:val="Hyperlink"/>
            <w:lang w:eastAsia="ko-KR"/>
          </w:rPr>
          <w:t>1A/260</w:t>
        </w:r>
      </w:hyperlink>
      <w:r w:rsidR="007A3858">
        <w:rPr>
          <w:lang w:eastAsia="ko-KR"/>
        </w:rPr>
        <w:t xml:space="preserve"> Annex 1</w:t>
      </w:r>
      <w:r w:rsidR="006A30E4">
        <w:rPr>
          <w:lang w:eastAsia="ko-KR"/>
        </w:rPr>
        <w:t>)</w:t>
      </w:r>
      <w:r w:rsidR="00695F63">
        <w:t xml:space="preserve">: </w:t>
      </w:r>
    </w:p>
    <w:p w14:paraId="50148F0D" w14:textId="77777777" w:rsidR="006A30E4" w:rsidRPr="00617DDE" w:rsidRDefault="006A30E4" w:rsidP="00AD43F0">
      <w:pPr>
        <w:ind w:left="720"/>
      </w:pPr>
      <w:r>
        <w:t>“</w:t>
      </w:r>
      <w:r w:rsidRPr="00617DDE">
        <w:t>Method A – New footnote</w:t>
      </w:r>
      <w:r>
        <w:t xml:space="preserve"> No.</w:t>
      </w:r>
      <w:r w:rsidRPr="00617DDE">
        <w:t xml:space="preserve"> </w:t>
      </w:r>
      <w:r w:rsidRPr="00617DDE">
        <w:rPr>
          <w:b/>
          <w:bCs/>
        </w:rPr>
        <w:t>5.A115</w:t>
      </w:r>
      <w:r w:rsidRPr="00617DDE">
        <w:t xml:space="preserve"> to the relevant part of the Radio Regulations is proposed.</w:t>
      </w:r>
    </w:p>
    <w:p w14:paraId="3FC0D391" w14:textId="77777777" w:rsidR="006A30E4" w:rsidRPr="00617DDE" w:rsidRDefault="006A30E4" w:rsidP="00AD43F0">
      <w:pPr>
        <w:ind w:left="720"/>
      </w:pPr>
      <w:r w:rsidRPr="00617DDE">
        <w:t>Reason:</w:t>
      </w:r>
      <w:r>
        <w:t xml:space="preserve"> </w:t>
      </w:r>
      <w:r w:rsidRPr="00617DDE">
        <w:t>Studies have shown compatibility between EESS (passive) and RAS in all band except [</w:t>
      </w:r>
      <w:r w:rsidRPr="00AD43F0">
        <w:rPr>
          <w:rStyle w:val="BookTitle"/>
          <w:b w:val="0"/>
          <w:i w:val="0"/>
        </w:rPr>
        <w:t>296</w:t>
      </w:r>
      <w:r w:rsidRPr="006A30E4">
        <w:t>-</w:t>
      </w:r>
      <w:r w:rsidRPr="00617DDE">
        <w:t>306 GHz, 313-320 GHz and 331-356 GHz]. The remaining spectrum can be identified for LMS/FS applications [pending the results of further studies].</w:t>
      </w:r>
      <w:r>
        <w:t>”</w:t>
      </w:r>
    </w:p>
    <w:p w14:paraId="63814674" w14:textId="77777777" w:rsidR="006A30E4" w:rsidRDefault="006A30E4" w:rsidP="00AD43F0">
      <w:pPr>
        <w:ind w:left="720"/>
      </w:pPr>
    </w:p>
    <w:p w14:paraId="7178B5BE" w14:textId="77777777" w:rsidR="004C68E3" w:rsidRDefault="004C68E3" w:rsidP="00AD43F0">
      <w:pPr>
        <w:ind w:left="720"/>
      </w:pPr>
    </w:p>
    <w:p w14:paraId="66CDE3D4" w14:textId="77777777" w:rsidR="00B64A60" w:rsidRPr="00E75714" w:rsidRDefault="00B64A60" w:rsidP="00AD43F0">
      <w:pPr>
        <w:pStyle w:val="ListParagraph"/>
        <w:numPr>
          <w:ilvl w:val="0"/>
          <w:numId w:val="22"/>
        </w:numPr>
        <w:spacing w:after="120"/>
        <w:ind w:left="0" w:firstLine="0"/>
        <w:rPr>
          <w:b/>
          <w:lang w:val="en-NZ" w:eastAsia="ko-KR"/>
        </w:rPr>
      </w:pPr>
      <w:r w:rsidRPr="00E75714">
        <w:rPr>
          <w:b/>
          <w:lang w:val="en-NZ" w:eastAsia="ko-KR"/>
        </w:rPr>
        <w:t>Documents</w:t>
      </w:r>
    </w:p>
    <w:p w14:paraId="03AA21B3" w14:textId="77777777" w:rsidR="00FF72C9" w:rsidRPr="000479D2" w:rsidRDefault="00B64A60" w:rsidP="00AD43F0">
      <w:pPr>
        <w:pStyle w:val="ListParagraph"/>
        <w:numPr>
          <w:ilvl w:val="1"/>
          <w:numId w:val="22"/>
        </w:numPr>
        <w:ind w:left="0" w:firstLine="0"/>
        <w:rPr>
          <w:b/>
          <w:lang w:val="en-NZ"/>
        </w:rPr>
      </w:pPr>
      <w:r w:rsidRPr="000479D2">
        <w:rPr>
          <w:b/>
          <w:lang w:val="en-NZ"/>
        </w:rPr>
        <w:t xml:space="preserve">Input Documents </w:t>
      </w:r>
    </w:p>
    <w:p w14:paraId="30DB6FCC" w14:textId="77777777" w:rsidR="00E75714" w:rsidRDefault="00926067" w:rsidP="00AD43F0">
      <w:pPr>
        <w:pStyle w:val="ListParagraph"/>
        <w:rPr>
          <w:lang w:val="en-NZ"/>
        </w:rPr>
      </w:pPr>
      <w:r>
        <w:rPr>
          <w:lang w:val="en-NZ"/>
        </w:rPr>
        <w:t>APG19-3</w:t>
      </w:r>
      <w:r w:rsidR="00B64A60" w:rsidRPr="00E75714">
        <w:rPr>
          <w:lang w:val="en-NZ"/>
        </w:rPr>
        <w:t>/</w:t>
      </w:r>
      <w:r w:rsidR="00F369B2" w:rsidRPr="00E75714">
        <w:rPr>
          <w:lang w:val="en-NZ"/>
        </w:rPr>
        <w:t>INP-</w:t>
      </w:r>
      <w:r>
        <w:rPr>
          <w:lang w:val="en-NZ"/>
        </w:rPr>
        <w:t>21</w:t>
      </w:r>
      <w:r w:rsidR="00F369B2">
        <w:rPr>
          <w:lang w:val="en-NZ"/>
        </w:rPr>
        <w:t xml:space="preserve"> (</w:t>
      </w:r>
      <w:r>
        <w:rPr>
          <w:lang w:val="en-NZ"/>
        </w:rPr>
        <w:t>KOR</w:t>
      </w:r>
      <w:r w:rsidR="00F369B2">
        <w:rPr>
          <w:lang w:val="en-NZ"/>
        </w:rPr>
        <w:t xml:space="preserve">), </w:t>
      </w:r>
      <w:r w:rsidR="00B64A60" w:rsidRPr="00E75714">
        <w:rPr>
          <w:lang w:val="en-NZ"/>
        </w:rPr>
        <w:t>INP-</w:t>
      </w:r>
      <w:r>
        <w:rPr>
          <w:lang w:val="en-NZ"/>
        </w:rPr>
        <w:t>34</w:t>
      </w:r>
      <w:r w:rsidR="00FF72C9">
        <w:rPr>
          <w:lang w:val="en-NZ"/>
        </w:rPr>
        <w:t xml:space="preserve"> (</w:t>
      </w:r>
      <w:r>
        <w:rPr>
          <w:lang w:val="en-NZ"/>
        </w:rPr>
        <w:t>NZL</w:t>
      </w:r>
      <w:r w:rsidR="00FF72C9">
        <w:rPr>
          <w:lang w:val="en-NZ"/>
        </w:rPr>
        <w:t>), INP-</w:t>
      </w:r>
      <w:r>
        <w:rPr>
          <w:lang w:val="en-NZ"/>
        </w:rPr>
        <w:t>41</w:t>
      </w:r>
      <w:r w:rsidR="00FF72C9">
        <w:rPr>
          <w:lang w:val="en-NZ"/>
        </w:rPr>
        <w:t xml:space="preserve"> (</w:t>
      </w:r>
      <w:r>
        <w:rPr>
          <w:lang w:val="en-NZ"/>
        </w:rPr>
        <w:t>AUS</w:t>
      </w:r>
      <w:r w:rsidR="00FF72C9">
        <w:rPr>
          <w:lang w:val="en-NZ"/>
        </w:rPr>
        <w:t>), INP-</w:t>
      </w:r>
      <w:r>
        <w:rPr>
          <w:lang w:val="en-NZ"/>
        </w:rPr>
        <w:t>49</w:t>
      </w:r>
      <w:r w:rsidR="00FF72C9">
        <w:rPr>
          <w:lang w:val="en-NZ"/>
        </w:rPr>
        <w:t xml:space="preserve"> (</w:t>
      </w:r>
      <w:r>
        <w:rPr>
          <w:lang w:val="en-NZ"/>
        </w:rPr>
        <w:t>JPN</w:t>
      </w:r>
      <w:r w:rsidR="00FF72C9">
        <w:rPr>
          <w:lang w:val="en-NZ"/>
        </w:rPr>
        <w:t xml:space="preserve">), </w:t>
      </w:r>
      <w:r w:rsidR="00942284">
        <w:rPr>
          <w:lang w:val="en-NZ"/>
        </w:rPr>
        <w:t>INP-</w:t>
      </w:r>
      <w:r>
        <w:rPr>
          <w:lang w:val="en-NZ"/>
        </w:rPr>
        <w:t>59</w:t>
      </w:r>
      <w:r w:rsidR="00942284">
        <w:rPr>
          <w:lang w:val="en-NZ"/>
        </w:rPr>
        <w:t xml:space="preserve"> (</w:t>
      </w:r>
      <w:r>
        <w:rPr>
          <w:lang w:val="en-NZ"/>
        </w:rPr>
        <w:t>TH</w:t>
      </w:r>
      <w:r w:rsidR="002D366C">
        <w:rPr>
          <w:lang w:val="en-NZ"/>
        </w:rPr>
        <w:t>A</w:t>
      </w:r>
      <w:r w:rsidR="00942284">
        <w:rPr>
          <w:lang w:val="en-NZ"/>
        </w:rPr>
        <w:t>), INP-</w:t>
      </w:r>
      <w:r>
        <w:rPr>
          <w:lang w:val="en-NZ"/>
        </w:rPr>
        <w:t>78</w:t>
      </w:r>
      <w:r w:rsidR="00942284">
        <w:rPr>
          <w:lang w:val="en-NZ"/>
        </w:rPr>
        <w:t xml:space="preserve"> (</w:t>
      </w:r>
      <w:r w:rsidR="007565D7">
        <w:rPr>
          <w:lang w:val="en-NZ"/>
        </w:rPr>
        <w:t>INS</w:t>
      </w:r>
      <w:r w:rsidR="00942284">
        <w:rPr>
          <w:lang w:val="en-NZ"/>
        </w:rPr>
        <w:t>), INP-</w:t>
      </w:r>
      <w:r>
        <w:rPr>
          <w:lang w:val="en-NZ"/>
        </w:rPr>
        <w:t>86</w:t>
      </w:r>
      <w:r w:rsidR="00942284">
        <w:rPr>
          <w:lang w:val="en-NZ"/>
        </w:rPr>
        <w:t xml:space="preserve"> (</w:t>
      </w:r>
      <w:r>
        <w:rPr>
          <w:lang w:val="en-NZ"/>
        </w:rPr>
        <w:t>CHN</w:t>
      </w:r>
      <w:r w:rsidR="00942284">
        <w:rPr>
          <w:lang w:val="en-NZ"/>
        </w:rPr>
        <w:t>)</w:t>
      </w:r>
    </w:p>
    <w:p w14:paraId="6D5CBF8C" w14:textId="77777777" w:rsidR="00E75714" w:rsidRPr="0018711B" w:rsidRDefault="00E75714" w:rsidP="00AD43F0">
      <w:pPr>
        <w:rPr>
          <w:lang w:val="en-NZ"/>
        </w:rPr>
      </w:pPr>
    </w:p>
    <w:p w14:paraId="1A2D40EB" w14:textId="77777777" w:rsidR="00FF72C9" w:rsidRPr="0018711B" w:rsidRDefault="00B64A60" w:rsidP="00AD43F0">
      <w:pPr>
        <w:pStyle w:val="ListParagraph"/>
        <w:numPr>
          <w:ilvl w:val="1"/>
          <w:numId w:val="22"/>
        </w:numPr>
        <w:ind w:left="0" w:firstLine="0"/>
        <w:rPr>
          <w:b/>
          <w:lang w:val="en-NZ"/>
        </w:rPr>
      </w:pPr>
      <w:r w:rsidRPr="0018711B">
        <w:rPr>
          <w:b/>
          <w:lang w:val="en-NZ"/>
        </w:rPr>
        <w:lastRenderedPageBreak/>
        <w:t xml:space="preserve">Information Documents </w:t>
      </w:r>
    </w:p>
    <w:p w14:paraId="55202FF1" w14:textId="77777777" w:rsidR="00B64A60" w:rsidRPr="0018711B" w:rsidRDefault="00780321" w:rsidP="00AD43F0">
      <w:pPr>
        <w:pStyle w:val="ListParagraph"/>
        <w:rPr>
          <w:lang w:val="en-NZ"/>
        </w:rPr>
      </w:pPr>
      <w:r>
        <w:rPr>
          <w:lang w:val="en-NZ"/>
        </w:rPr>
        <w:t>APG19-3</w:t>
      </w:r>
      <w:r w:rsidR="00B64A60" w:rsidRPr="0018711B">
        <w:rPr>
          <w:lang w:val="en-NZ"/>
        </w:rPr>
        <w:t>/</w:t>
      </w:r>
      <w:r w:rsidR="0018711B" w:rsidRPr="0018711B">
        <w:rPr>
          <w:lang w:val="en-NZ"/>
        </w:rPr>
        <w:t xml:space="preserve"> INF-06 (CEPT), </w:t>
      </w:r>
      <w:r w:rsidR="00F369B2" w:rsidRPr="0018711B">
        <w:rPr>
          <w:lang w:val="en-NZ"/>
        </w:rPr>
        <w:t>INF-0</w:t>
      </w:r>
      <w:r w:rsidR="0018711B" w:rsidRPr="0018711B">
        <w:rPr>
          <w:lang w:val="en-NZ"/>
        </w:rPr>
        <w:t>9</w:t>
      </w:r>
      <w:r w:rsidR="00F369B2" w:rsidRPr="0018711B">
        <w:rPr>
          <w:lang w:val="en-NZ"/>
        </w:rPr>
        <w:t xml:space="preserve"> (</w:t>
      </w:r>
      <w:r w:rsidR="0018711B" w:rsidRPr="0018711B">
        <w:rPr>
          <w:lang w:val="en-NZ"/>
        </w:rPr>
        <w:t>IARU)</w:t>
      </w:r>
      <w:r w:rsidR="006B444D">
        <w:rPr>
          <w:lang w:val="en-NZ"/>
        </w:rPr>
        <w:t>, INF-08Rev1 (CITEL)</w:t>
      </w:r>
    </w:p>
    <w:p w14:paraId="4EDC0FB6" w14:textId="77777777" w:rsidR="00B64A60" w:rsidRDefault="00B64A60" w:rsidP="00AD43F0">
      <w:pPr>
        <w:rPr>
          <w:lang w:val="en-NZ"/>
        </w:rPr>
      </w:pPr>
    </w:p>
    <w:p w14:paraId="6B5386D1" w14:textId="77777777" w:rsidR="00663E8F" w:rsidRPr="0018711B" w:rsidRDefault="00663E8F" w:rsidP="00AD43F0">
      <w:pPr>
        <w:rPr>
          <w:lang w:val="en-NZ"/>
        </w:rPr>
      </w:pPr>
    </w:p>
    <w:p w14:paraId="7E67E7A0" w14:textId="77777777" w:rsidR="002972FC" w:rsidRPr="0018711B" w:rsidRDefault="002972FC" w:rsidP="00AD43F0">
      <w:pPr>
        <w:rPr>
          <w:lang w:val="en-NZ"/>
        </w:rPr>
      </w:pPr>
    </w:p>
    <w:p w14:paraId="732DCDF2" w14:textId="77777777" w:rsidR="00B64A60" w:rsidRDefault="00B64A60" w:rsidP="00AD43F0">
      <w:pPr>
        <w:pStyle w:val="ListParagraph"/>
        <w:numPr>
          <w:ilvl w:val="0"/>
          <w:numId w:val="22"/>
        </w:numPr>
        <w:spacing w:after="120"/>
        <w:ind w:left="0" w:firstLine="0"/>
        <w:rPr>
          <w:b/>
          <w:lang w:val="en-NZ" w:eastAsia="ko-KR"/>
        </w:rPr>
      </w:pPr>
      <w:r w:rsidRPr="00E75714">
        <w:rPr>
          <w:b/>
          <w:lang w:val="en-NZ" w:eastAsia="ko-KR"/>
        </w:rPr>
        <w:t>Summary of Discussions</w:t>
      </w:r>
    </w:p>
    <w:p w14:paraId="3F42C19D" w14:textId="77777777" w:rsidR="004A2F96" w:rsidRDefault="004A2F96" w:rsidP="00AD43F0">
      <w:pPr>
        <w:pStyle w:val="ListParagraph"/>
        <w:numPr>
          <w:ilvl w:val="1"/>
          <w:numId w:val="22"/>
        </w:numPr>
        <w:ind w:left="0" w:firstLine="0"/>
        <w:rPr>
          <w:b/>
          <w:lang w:val="en-NZ" w:eastAsia="ko-KR"/>
        </w:rPr>
      </w:pPr>
      <w:r w:rsidRPr="00E75714">
        <w:rPr>
          <w:b/>
          <w:lang w:val="en-NZ" w:eastAsia="ko-KR"/>
        </w:rPr>
        <w:t>S</w:t>
      </w:r>
      <w:r w:rsidRPr="00E75714">
        <w:rPr>
          <w:rFonts w:hint="eastAsia"/>
          <w:b/>
          <w:lang w:val="en-NZ" w:eastAsia="ko-KR"/>
        </w:rPr>
        <w:t xml:space="preserve">ummary </w:t>
      </w:r>
      <w:r w:rsidRPr="00E75714">
        <w:rPr>
          <w:b/>
          <w:lang w:val="en-NZ" w:eastAsia="ko-KR"/>
        </w:rPr>
        <w:t>of Members’ view</w:t>
      </w:r>
    </w:p>
    <w:p w14:paraId="7F0A71E2" w14:textId="1B384C6C" w:rsidR="001655FE" w:rsidRDefault="00EC76F8" w:rsidP="00AD43F0">
      <w:pPr>
        <w:pStyle w:val="ListParagraph"/>
        <w:rPr>
          <w:lang w:val="en-NZ" w:eastAsia="ko-KR"/>
        </w:rPr>
      </w:pPr>
      <w:r>
        <w:rPr>
          <w:lang w:val="en-NZ" w:eastAsia="ko-KR"/>
        </w:rPr>
        <w:t xml:space="preserve">  </w:t>
      </w:r>
    </w:p>
    <w:p w14:paraId="321D9365" w14:textId="77777777" w:rsidR="004A2F96" w:rsidRDefault="0065753B" w:rsidP="00AD43F0">
      <w:pPr>
        <w:pStyle w:val="ListParagraph"/>
        <w:numPr>
          <w:ilvl w:val="2"/>
          <w:numId w:val="22"/>
        </w:numPr>
        <w:ind w:left="0" w:firstLine="0"/>
        <w:rPr>
          <w:b/>
          <w:lang w:val="en-NZ" w:eastAsia="ko-KR"/>
        </w:rPr>
      </w:pPr>
      <w:r>
        <w:rPr>
          <w:b/>
          <w:lang w:val="en-NZ" w:eastAsia="ko-KR"/>
        </w:rPr>
        <w:t xml:space="preserve">Republic of </w:t>
      </w:r>
      <w:r w:rsidR="0018711B">
        <w:rPr>
          <w:b/>
          <w:lang w:val="en-NZ" w:eastAsia="ko-KR"/>
        </w:rPr>
        <w:t xml:space="preserve">Korea </w:t>
      </w:r>
      <w:r w:rsidR="0018711B" w:rsidRPr="006D6030">
        <w:rPr>
          <w:b/>
          <w:lang w:val="en-NZ" w:eastAsia="ko-KR"/>
        </w:rPr>
        <w:t>(</w:t>
      </w:r>
      <w:r w:rsidR="009947D1" w:rsidRPr="00AD43F0">
        <w:rPr>
          <w:b/>
          <w:lang w:val="en-NZ"/>
        </w:rPr>
        <w:t>APG19-3/</w:t>
      </w:r>
      <w:r w:rsidR="0018711B">
        <w:rPr>
          <w:b/>
          <w:lang w:val="en-NZ" w:eastAsia="ko-KR"/>
        </w:rPr>
        <w:t>INP-21</w:t>
      </w:r>
      <w:r w:rsidR="000479D2">
        <w:rPr>
          <w:b/>
          <w:lang w:val="en-NZ" w:eastAsia="ko-KR"/>
        </w:rPr>
        <w:t>)</w:t>
      </w:r>
    </w:p>
    <w:p w14:paraId="33AC5046" w14:textId="77777777" w:rsidR="002A18BE" w:rsidRDefault="002A18BE" w:rsidP="00AD43F0">
      <w:pPr>
        <w:pStyle w:val="ListParagraph"/>
        <w:rPr>
          <w:lang w:val="en-NZ" w:eastAsia="ko-KR"/>
        </w:rPr>
      </w:pPr>
      <w:r>
        <w:rPr>
          <w:lang w:val="en-NZ" w:eastAsia="ko-KR"/>
        </w:rPr>
        <w:t>The administration of Korea supports the APT preliminary view adopted as at the APG19-2 meeting:</w:t>
      </w:r>
    </w:p>
    <w:p w14:paraId="74906B50" w14:textId="77777777" w:rsidR="000479D2" w:rsidRDefault="002A18BE" w:rsidP="00AD43F0">
      <w:pPr>
        <w:pStyle w:val="ListParagraph"/>
        <w:rPr>
          <w:lang w:val="en-NZ"/>
        </w:rPr>
      </w:pPr>
      <w:r>
        <w:rPr>
          <w:lang w:val="en-NZ" w:eastAsia="ko-KR"/>
        </w:rPr>
        <w:t>“</w:t>
      </w:r>
      <w:r w:rsidR="00926067">
        <w:rPr>
          <w:lang w:val="en-NZ" w:eastAsia="ko-KR"/>
        </w:rPr>
        <w:t xml:space="preserve">APT Members support </w:t>
      </w:r>
      <w:r w:rsidR="00926067" w:rsidRPr="00B71BEC">
        <w:rPr>
          <w:lang w:val="en-NZ" w:eastAsia="ko-KR"/>
        </w:rPr>
        <w:t xml:space="preserve">the </w:t>
      </w:r>
      <w:r w:rsidR="00926067">
        <w:rPr>
          <w:lang w:val="en-NZ" w:eastAsia="ko-KR"/>
        </w:rPr>
        <w:t xml:space="preserve">ITU-R studies to consider identification of </w:t>
      </w:r>
      <w:r w:rsidR="00926067" w:rsidRPr="00B71BEC">
        <w:t xml:space="preserve">frequency bands for use </w:t>
      </w:r>
      <w:r w:rsidR="00926067">
        <w:t xml:space="preserve">by </w:t>
      </w:r>
      <w:r w:rsidR="00926067" w:rsidRPr="00B71BEC">
        <w:t>the land-mobile and fixed service applications operating in the frequency range 275-450 GHz</w:t>
      </w:r>
      <w:r w:rsidR="00926067">
        <w:t xml:space="preserve">, provided that the protection on passive services </w:t>
      </w:r>
      <w:r w:rsidR="00926067">
        <w:rPr>
          <w:rFonts w:eastAsiaTheme="minorEastAsia"/>
          <w:lang w:eastAsia="ja-JP"/>
        </w:rPr>
        <w:t>identified in No.</w:t>
      </w:r>
      <w:r w:rsidR="00926067">
        <w:rPr>
          <w:rFonts w:eastAsiaTheme="minorEastAsia"/>
          <w:b/>
          <w:lang w:eastAsia="ja-JP"/>
        </w:rPr>
        <w:t>5.565</w:t>
      </w:r>
      <w:r w:rsidR="00926067" w:rsidRPr="00B71BEC">
        <w:rPr>
          <w:rFonts w:eastAsiaTheme="minorEastAsia"/>
          <w:lang w:eastAsia="ja-JP"/>
        </w:rPr>
        <w:t xml:space="preserve"> is </w:t>
      </w:r>
      <w:r w:rsidR="00926067">
        <w:rPr>
          <w:rFonts w:eastAsiaTheme="minorEastAsia"/>
          <w:lang w:eastAsia="ja-JP"/>
        </w:rPr>
        <w:t>ensured.</w:t>
      </w:r>
      <w:r>
        <w:rPr>
          <w:rFonts w:eastAsiaTheme="minorEastAsia"/>
          <w:lang w:eastAsia="ja-JP"/>
        </w:rPr>
        <w:t>”</w:t>
      </w:r>
    </w:p>
    <w:p w14:paraId="6371CCC1" w14:textId="77777777" w:rsidR="000479D2" w:rsidRPr="00E75714" w:rsidRDefault="000479D2" w:rsidP="00AD43F0">
      <w:pPr>
        <w:pStyle w:val="ListParagraph"/>
        <w:spacing w:after="120"/>
        <w:ind w:left="0"/>
        <w:rPr>
          <w:b/>
          <w:lang w:val="en-NZ" w:eastAsia="ko-KR"/>
        </w:rPr>
      </w:pPr>
    </w:p>
    <w:p w14:paraId="1FC8E926" w14:textId="77777777" w:rsidR="004A2F96" w:rsidRDefault="0018711B" w:rsidP="00AD43F0">
      <w:pPr>
        <w:pStyle w:val="ListParagraph"/>
        <w:numPr>
          <w:ilvl w:val="2"/>
          <w:numId w:val="22"/>
        </w:numPr>
        <w:ind w:left="0" w:firstLine="0"/>
        <w:rPr>
          <w:b/>
          <w:lang w:val="en-NZ" w:eastAsia="ko-KR"/>
        </w:rPr>
      </w:pPr>
      <w:r>
        <w:rPr>
          <w:b/>
          <w:lang w:val="en-NZ" w:eastAsia="ko-KR"/>
        </w:rPr>
        <w:t xml:space="preserve">New </w:t>
      </w:r>
      <w:r w:rsidRPr="006D6030">
        <w:rPr>
          <w:b/>
          <w:lang w:val="en-NZ" w:eastAsia="ko-KR"/>
        </w:rPr>
        <w:t>Zealand (</w:t>
      </w:r>
      <w:r w:rsidR="009947D1" w:rsidRPr="00AD43F0">
        <w:rPr>
          <w:b/>
          <w:lang w:val="en-NZ"/>
        </w:rPr>
        <w:t>APG19-3/</w:t>
      </w:r>
      <w:r w:rsidRPr="006D6030">
        <w:rPr>
          <w:b/>
          <w:lang w:val="en-NZ" w:eastAsia="ko-KR"/>
        </w:rPr>
        <w:t>INP</w:t>
      </w:r>
      <w:r>
        <w:rPr>
          <w:b/>
          <w:lang w:val="en-NZ" w:eastAsia="ko-KR"/>
        </w:rPr>
        <w:t>-34</w:t>
      </w:r>
      <w:r w:rsidR="000479D2">
        <w:rPr>
          <w:b/>
          <w:lang w:val="en-NZ" w:eastAsia="ko-KR"/>
        </w:rPr>
        <w:t>)</w:t>
      </w:r>
    </w:p>
    <w:p w14:paraId="79A512E5" w14:textId="77777777" w:rsidR="000479D2" w:rsidRDefault="00926067" w:rsidP="00AD43F0">
      <w:pPr>
        <w:pStyle w:val="ListParagraph"/>
        <w:rPr>
          <w:lang w:val="en-NZ" w:eastAsia="ko-KR"/>
        </w:rPr>
      </w:pPr>
      <w:r>
        <w:rPr>
          <w:lang w:val="en-NZ"/>
        </w:rPr>
        <w:t xml:space="preserve">New Zealand supports the studies undertaken by WP 1A, which would facilitate the development of innovative radiocommunication technologies utilising frequency range above 275 GHz by active services, such as fixed and land-mobile services, as long as such active service applications would not cause harmful interference to those passive service applications as indicated in RR No. </w:t>
      </w:r>
      <w:r>
        <w:rPr>
          <w:b/>
          <w:lang w:val="en-NZ"/>
        </w:rPr>
        <w:t>5.565</w:t>
      </w:r>
      <w:r>
        <w:rPr>
          <w:lang w:val="en-NZ"/>
        </w:rPr>
        <w:t>.</w:t>
      </w:r>
    </w:p>
    <w:p w14:paraId="4CD2CEF5" w14:textId="77777777" w:rsidR="000479D2" w:rsidRPr="000479D2" w:rsidRDefault="000479D2" w:rsidP="00AD43F0">
      <w:pPr>
        <w:pStyle w:val="ListParagraph"/>
        <w:spacing w:after="120"/>
        <w:ind w:left="0"/>
        <w:rPr>
          <w:lang w:val="en-NZ" w:eastAsia="ko-KR"/>
        </w:rPr>
      </w:pPr>
    </w:p>
    <w:p w14:paraId="4E5A58E8" w14:textId="77777777" w:rsidR="004A2F96" w:rsidRDefault="0018711B" w:rsidP="00AD43F0">
      <w:pPr>
        <w:pStyle w:val="ListParagraph"/>
        <w:numPr>
          <w:ilvl w:val="2"/>
          <w:numId w:val="22"/>
        </w:numPr>
        <w:ind w:left="0" w:firstLine="0"/>
        <w:rPr>
          <w:b/>
          <w:lang w:val="en-NZ" w:eastAsia="ko-KR"/>
        </w:rPr>
      </w:pPr>
      <w:r w:rsidRPr="006D6030">
        <w:rPr>
          <w:b/>
          <w:lang w:val="en-NZ" w:eastAsia="ko-KR"/>
        </w:rPr>
        <w:t>Australia (</w:t>
      </w:r>
      <w:r w:rsidR="009947D1" w:rsidRPr="00AD43F0">
        <w:rPr>
          <w:b/>
          <w:lang w:val="en-NZ"/>
        </w:rPr>
        <w:t>APG19-3/</w:t>
      </w:r>
      <w:r w:rsidRPr="006D6030">
        <w:rPr>
          <w:b/>
          <w:lang w:val="en-NZ" w:eastAsia="ko-KR"/>
        </w:rPr>
        <w:t>INP-</w:t>
      </w:r>
      <w:r>
        <w:rPr>
          <w:b/>
          <w:lang w:val="en-NZ" w:eastAsia="ko-KR"/>
        </w:rPr>
        <w:t>41</w:t>
      </w:r>
      <w:r w:rsidR="000479D2">
        <w:rPr>
          <w:b/>
          <w:lang w:val="en-NZ" w:eastAsia="ko-KR"/>
        </w:rPr>
        <w:t>)</w:t>
      </w:r>
    </w:p>
    <w:p w14:paraId="7B119631" w14:textId="77777777" w:rsidR="00F62391" w:rsidRDefault="00926067" w:rsidP="00AD43F0">
      <w:pPr>
        <w:spacing w:after="100" w:afterAutospacing="1"/>
        <w:ind w:left="720"/>
      </w:pPr>
      <w:r>
        <w:t xml:space="preserve">Australia supports a possible identification of frequency bands for use by administrations for the land-mobile and fixed services applications operating in the frequency range 275-450 GHz, in accordance with Resolution </w:t>
      </w:r>
      <w:r w:rsidRPr="00AB525F">
        <w:rPr>
          <w:b/>
        </w:rPr>
        <w:t>767 (WRC-15)</w:t>
      </w:r>
      <w:r>
        <w:t xml:space="preserve"> noting the need to maintain protection of the passive services identified in Radio Regulations No. </w:t>
      </w:r>
      <w:r w:rsidRPr="00AB525F">
        <w:rPr>
          <w:b/>
        </w:rPr>
        <w:t>5.565</w:t>
      </w:r>
      <w:r>
        <w:t>.</w:t>
      </w:r>
      <w:r w:rsidR="007C71F9">
        <w:br/>
      </w:r>
      <w:r>
        <w:t>Australia presently supports the single Method identified in the draft CPM Report text for this agenda item. That is, identify frequency bands that are compatible with both EESS (passive) and RAS with respect to the land-mobile and fixed services applications by a new footnote in the Radio Regulations.</w:t>
      </w:r>
      <w:r w:rsidR="007C71F9">
        <w:br/>
      </w:r>
      <w:r>
        <w:t>Preliminary studies show compatibility between EESS (passive) and RAS in all bands in the range 275-450 GHz except [296-306 GHz, 313-320 GHz and 331-356 GHz]. The remaining spectrum can be identified for land-mobile and fixed services</w:t>
      </w:r>
      <w:r w:rsidR="0018711B">
        <w:t xml:space="preserve"> </w:t>
      </w:r>
      <w:r>
        <w:t>applications subject to results of further studies supporting compatibility.</w:t>
      </w:r>
    </w:p>
    <w:p w14:paraId="6CBBD4CD" w14:textId="77777777" w:rsidR="000479D2" w:rsidRDefault="00926067" w:rsidP="00AD43F0">
      <w:pPr>
        <w:pStyle w:val="ListParagraph"/>
        <w:numPr>
          <w:ilvl w:val="2"/>
          <w:numId w:val="22"/>
        </w:numPr>
        <w:ind w:left="0" w:firstLine="0"/>
        <w:rPr>
          <w:b/>
          <w:lang w:val="en-NZ" w:eastAsia="ko-KR"/>
        </w:rPr>
      </w:pPr>
      <w:r w:rsidRPr="006D6030">
        <w:rPr>
          <w:b/>
          <w:lang w:val="en-NZ" w:eastAsia="ko-KR"/>
        </w:rPr>
        <w:t>Japan</w:t>
      </w:r>
      <w:r w:rsidR="0018711B" w:rsidRPr="006D6030">
        <w:rPr>
          <w:b/>
          <w:lang w:val="en-NZ" w:eastAsia="ko-KR"/>
        </w:rPr>
        <w:t xml:space="preserve"> (</w:t>
      </w:r>
      <w:r w:rsidR="009947D1" w:rsidRPr="00AD43F0">
        <w:rPr>
          <w:b/>
          <w:lang w:val="en-NZ"/>
        </w:rPr>
        <w:t>APG19-3/</w:t>
      </w:r>
      <w:r w:rsidR="0018711B" w:rsidRPr="006D6030">
        <w:rPr>
          <w:b/>
          <w:lang w:val="en-NZ" w:eastAsia="ko-KR"/>
        </w:rPr>
        <w:t>INP</w:t>
      </w:r>
      <w:r w:rsidR="0018711B">
        <w:rPr>
          <w:b/>
          <w:lang w:val="en-NZ" w:eastAsia="ko-KR"/>
        </w:rPr>
        <w:t>-4</w:t>
      </w:r>
      <w:r w:rsidR="000479D2">
        <w:rPr>
          <w:b/>
          <w:lang w:val="en-NZ" w:eastAsia="ko-KR"/>
        </w:rPr>
        <w:t>9)</w:t>
      </w:r>
    </w:p>
    <w:p w14:paraId="7CDFB82D" w14:textId="77777777" w:rsidR="000479D2" w:rsidRDefault="00926067" w:rsidP="00AD43F0">
      <w:pPr>
        <w:pStyle w:val="ListParagraph"/>
        <w:rPr>
          <w:b/>
          <w:lang w:val="en-NZ" w:eastAsia="ko-KR"/>
        </w:rPr>
      </w:pPr>
      <w:r>
        <w:rPr>
          <w:rFonts w:eastAsiaTheme="minorEastAsia"/>
          <w:lang w:eastAsia="ja-JP"/>
        </w:rPr>
        <w:t>Japan supports ITU-R studies to identify candidate frequency bands for use by systems in the land-mobile and fixed services conducted by WP1A. Taking into account the results of studies, Japan also supports identification of land-mobile and fixed services. Japan is of the view that the passive services identified in No.</w:t>
      </w:r>
      <w:r>
        <w:rPr>
          <w:rFonts w:eastAsiaTheme="minorEastAsia"/>
          <w:b/>
          <w:lang w:eastAsia="ja-JP"/>
        </w:rPr>
        <w:t>5.565</w:t>
      </w:r>
      <w:r>
        <w:rPr>
          <w:rFonts w:eastAsiaTheme="minorEastAsia"/>
          <w:lang w:eastAsia="ja-JP"/>
        </w:rPr>
        <w:t xml:space="preserve"> should be protected from interference caused by LMS and FS applications planned to be operated.</w:t>
      </w:r>
    </w:p>
    <w:p w14:paraId="2DA9925B" w14:textId="77777777" w:rsidR="000479D2" w:rsidRDefault="000479D2" w:rsidP="00AD43F0">
      <w:pPr>
        <w:pStyle w:val="ListParagraph"/>
        <w:spacing w:after="120"/>
        <w:ind w:left="0"/>
        <w:rPr>
          <w:b/>
          <w:lang w:val="en-NZ" w:eastAsia="ko-KR"/>
        </w:rPr>
      </w:pPr>
    </w:p>
    <w:p w14:paraId="5D607836" w14:textId="77777777" w:rsidR="000479D2" w:rsidRDefault="00926067" w:rsidP="00AD43F0">
      <w:pPr>
        <w:pStyle w:val="ListParagraph"/>
        <w:numPr>
          <w:ilvl w:val="2"/>
          <w:numId w:val="22"/>
        </w:numPr>
        <w:ind w:left="0" w:firstLine="0"/>
        <w:rPr>
          <w:b/>
          <w:lang w:val="en-NZ" w:eastAsia="ko-KR"/>
        </w:rPr>
      </w:pPr>
      <w:r w:rsidRPr="006D6030">
        <w:rPr>
          <w:b/>
          <w:lang w:val="en-NZ" w:eastAsia="ko-KR"/>
        </w:rPr>
        <w:t>Thailand</w:t>
      </w:r>
      <w:r w:rsidR="0018711B" w:rsidRPr="006D6030">
        <w:rPr>
          <w:b/>
          <w:lang w:val="en-NZ" w:eastAsia="ko-KR"/>
        </w:rPr>
        <w:t xml:space="preserve"> (</w:t>
      </w:r>
      <w:r w:rsidR="009947D1" w:rsidRPr="00AD43F0">
        <w:rPr>
          <w:b/>
          <w:lang w:val="en-NZ"/>
        </w:rPr>
        <w:t>APG19-3/</w:t>
      </w:r>
      <w:r w:rsidR="0018711B" w:rsidRPr="006D6030">
        <w:rPr>
          <w:b/>
          <w:lang w:val="en-NZ" w:eastAsia="ko-KR"/>
        </w:rPr>
        <w:t>INP</w:t>
      </w:r>
      <w:r w:rsidR="0018711B">
        <w:rPr>
          <w:b/>
          <w:lang w:val="en-NZ" w:eastAsia="ko-KR"/>
        </w:rPr>
        <w:t>-5</w:t>
      </w:r>
      <w:r w:rsidR="000479D2">
        <w:rPr>
          <w:b/>
          <w:lang w:val="en-NZ" w:eastAsia="ko-KR"/>
        </w:rPr>
        <w:t>9)</w:t>
      </w:r>
    </w:p>
    <w:p w14:paraId="58F09093" w14:textId="77777777" w:rsidR="00926067" w:rsidRPr="00926067" w:rsidRDefault="00926067" w:rsidP="00AD43F0">
      <w:pPr>
        <w:shd w:val="clear" w:color="auto" w:fill="FFFFFF"/>
        <w:ind w:left="720"/>
        <w:rPr>
          <w:bCs/>
          <w:color w:val="000000"/>
        </w:rPr>
      </w:pPr>
      <w:r w:rsidRPr="00926067">
        <w:rPr>
          <w:bCs/>
          <w:color w:val="000000"/>
        </w:rPr>
        <w:t xml:space="preserve">Thailand supports ITU-R studies to identify frequency bands for the land-mobile and fixed services operating in the frequency range 275-450 GHz given the condition that the use of </w:t>
      </w:r>
      <w:r w:rsidRPr="00926067">
        <w:rPr>
          <w:color w:val="000000"/>
        </w:rPr>
        <w:t xml:space="preserve">existing EESS (passive) and RAS applications shall be protected as identified in </w:t>
      </w:r>
      <w:r w:rsidRPr="00926067">
        <w:rPr>
          <w:lang w:val="en-GB"/>
        </w:rPr>
        <w:t xml:space="preserve">RR No. </w:t>
      </w:r>
      <w:r w:rsidRPr="00926067">
        <w:rPr>
          <w:bCs/>
          <w:lang w:val="en-GB"/>
        </w:rPr>
        <w:t>5.565</w:t>
      </w:r>
      <w:r w:rsidRPr="00926067">
        <w:rPr>
          <w:bCs/>
          <w:color w:val="000000"/>
        </w:rPr>
        <w:t xml:space="preserve">.  </w:t>
      </w:r>
    </w:p>
    <w:p w14:paraId="1FE732E4" w14:textId="77777777" w:rsidR="00B71BEC" w:rsidRDefault="00B71BEC" w:rsidP="00AD43F0">
      <w:pPr>
        <w:pStyle w:val="ListParagraph"/>
        <w:spacing w:after="120"/>
        <w:ind w:left="0"/>
        <w:rPr>
          <w:b/>
          <w:lang w:val="en-NZ" w:eastAsia="ko-KR"/>
        </w:rPr>
      </w:pPr>
    </w:p>
    <w:p w14:paraId="0398265B" w14:textId="77777777" w:rsidR="00926067" w:rsidRDefault="00926067" w:rsidP="00AD43F0">
      <w:pPr>
        <w:pStyle w:val="ListParagraph"/>
        <w:numPr>
          <w:ilvl w:val="2"/>
          <w:numId w:val="22"/>
        </w:numPr>
        <w:ind w:left="0" w:firstLine="0"/>
        <w:rPr>
          <w:b/>
          <w:lang w:val="en-NZ" w:eastAsia="ko-KR"/>
        </w:rPr>
      </w:pPr>
      <w:r w:rsidRPr="006D6030">
        <w:rPr>
          <w:b/>
          <w:lang w:val="en-NZ" w:eastAsia="ko-KR"/>
        </w:rPr>
        <w:lastRenderedPageBreak/>
        <w:t>Indonesia</w:t>
      </w:r>
      <w:r w:rsidR="0018711B" w:rsidRPr="006D6030">
        <w:rPr>
          <w:b/>
          <w:lang w:val="en-NZ" w:eastAsia="ko-KR"/>
        </w:rPr>
        <w:t xml:space="preserve"> (</w:t>
      </w:r>
      <w:r w:rsidR="009947D1" w:rsidRPr="00AD43F0">
        <w:rPr>
          <w:b/>
          <w:lang w:val="en-NZ"/>
        </w:rPr>
        <w:t>APG19-3/</w:t>
      </w:r>
      <w:r w:rsidR="0018711B" w:rsidRPr="006D6030">
        <w:rPr>
          <w:b/>
          <w:lang w:val="en-NZ" w:eastAsia="ko-KR"/>
        </w:rPr>
        <w:t>INP</w:t>
      </w:r>
      <w:r w:rsidR="0018711B">
        <w:rPr>
          <w:b/>
          <w:lang w:val="en-NZ" w:eastAsia="ko-KR"/>
        </w:rPr>
        <w:t>-78)</w:t>
      </w:r>
    </w:p>
    <w:p w14:paraId="7F041625" w14:textId="77777777" w:rsidR="00926067" w:rsidRDefault="00926067" w:rsidP="00AD43F0">
      <w:pPr>
        <w:pStyle w:val="ListParagraph"/>
      </w:pPr>
      <w:r>
        <w:t xml:space="preserve">Indonesia is of the view to follow the progress of ITU-R WP 1A and waiting to the relevant study is finished. Indonesia support the identification of frequency bands for land-mobile and fixed service in the frequency range 275-450 GHz under the condition that protection of passive services identified in No. </w:t>
      </w:r>
      <w:r>
        <w:rPr>
          <w:b/>
        </w:rPr>
        <w:t>5.565</w:t>
      </w:r>
      <w:r>
        <w:t xml:space="preserve"> is ensured.</w:t>
      </w:r>
    </w:p>
    <w:p w14:paraId="5AD28645" w14:textId="77777777" w:rsidR="00EB557F" w:rsidRDefault="00EB557F" w:rsidP="00AD43F0">
      <w:pPr>
        <w:pStyle w:val="ListParagraph"/>
      </w:pPr>
    </w:p>
    <w:p w14:paraId="5975F695" w14:textId="77777777" w:rsidR="00EB557F" w:rsidRPr="00926067" w:rsidRDefault="00EB557F" w:rsidP="00AD43F0">
      <w:pPr>
        <w:pStyle w:val="ListParagraph"/>
        <w:rPr>
          <w:lang w:val="en-NZ" w:eastAsia="ko-KR"/>
        </w:rPr>
      </w:pPr>
    </w:p>
    <w:p w14:paraId="1D819317" w14:textId="77777777" w:rsidR="000479D2" w:rsidRPr="000479D2" w:rsidRDefault="00926067" w:rsidP="00AD43F0">
      <w:pPr>
        <w:pStyle w:val="ListParagraph"/>
        <w:numPr>
          <w:ilvl w:val="2"/>
          <w:numId w:val="22"/>
        </w:numPr>
        <w:ind w:left="0" w:firstLine="0"/>
        <w:rPr>
          <w:b/>
          <w:lang w:val="en-NZ" w:eastAsia="ko-KR"/>
        </w:rPr>
      </w:pPr>
      <w:r>
        <w:rPr>
          <w:b/>
          <w:lang w:val="en-NZ" w:eastAsia="ko-KR"/>
        </w:rPr>
        <w:t xml:space="preserve">People’s Republic of </w:t>
      </w:r>
      <w:r w:rsidRPr="006D6030">
        <w:rPr>
          <w:b/>
          <w:lang w:val="en-NZ" w:eastAsia="ko-KR"/>
        </w:rPr>
        <w:t xml:space="preserve">China </w:t>
      </w:r>
      <w:r w:rsidR="000479D2" w:rsidRPr="006D6030">
        <w:rPr>
          <w:b/>
          <w:lang w:val="en-NZ" w:eastAsia="ko-KR"/>
        </w:rPr>
        <w:t>(</w:t>
      </w:r>
      <w:r w:rsidR="009947D1" w:rsidRPr="00AD43F0">
        <w:rPr>
          <w:b/>
          <w:lang w:val="en-NZ"/>
        </w:rPr>
        <w:t>APG19-3/</w:t>
      </w:r>
      <w:r w:rsidR="000479D2" w:rsidRPr="006D6030">
        <w:rPr>
          <w:b/>
          <w:lang w:val="en-NZ" w:eastAsia="ko-KR"/>
        </w:rPr>
        <w:t>INP</w:t>
      </w:r>
      <w:r w:rsidR="000479D2">
        <w:rPr>
          <w:b/>
          <w:lang w:val="en-NZ" w:eastAsia="ko-KR"/>
        </w:rPr>
        <w:t>-</w:t>
      </w:r>
      <w:r w:rsidR="0018711B">
        <w:rPr>
          <w:b/>
          <w:lang w:val="en-NZ" w:eastAsia="ko-KR"/>
        </w:rPr>
        <w:t>86</w:t>
      </w:r>
      <w:r w:rsidR="000479D2">
        <w:rPr>
          <w:b/>
          <w:lang w:val="en-NZ" w:eastAsia="ko-KR"/>
        </w:rPr>
        <w:t>)</w:t>
      </w:r>
    </w:p>
    <w:p w14:paraId="0EF48E7C" w14:textId="77777777" w:rsidR="00926067" w:rsidRDefault="009947D1" w:rsidP="00AD43F0">
      <w:pPr>
        <w:ind w:left="720"/>
      </w:pPr>
      <w:r>
        <w:rPr>
          <w:rFonts w:eastAsia="SimSun"/>
          <w:lang w:eastAsia="zh-CN"/>
        </w:rPr>
        <w:t>China is of the view that s</w:t>
      </w:r>
      <w:r w:rsidR="00926067">
        <w:rPr>
          <w:rFonts w:eastAsia="SimSun"/>
          <w:lang w:eastAsia="zh-CN"/>
        </w:rPr>
        <w:t>ufficient protection for RAS and EESS (passive) should be provided due to the sensitivity of passive services, and the compatibility study should be fully conducted before any frequency bands would be identified for the land</w:t>
      </w:r>
      <w:r w:rsidR="00926067">
        <w:rPr>
          <w:rFonts w:eastAsia="SimSun"/>
          <w:lang w:eastAsia="zh-CN"/>
        </w:rPr>
        <w:noBreakHyphen/>
        <w:t xml:space="preserve">mobile and fixed services applications in the frequency range 275-450GHz.   </w:t>
      </w:r>
      <w:r w:rsidR="007C71F9">
        <w:br/>
      </w:r>
      <w:r w:rsidR="00926067">
        <w:rPr>
          <w:lang w:eastAsia="zh-CN"/>
        </w:rPr>
        <w:t>China</w:t>
      </w:r>
      <w:r>
        <w:rPr>
          <w:lang w:eastAsia="zh-CN"/>
        </w:rPr>
        <w:t xml:space="preserve"> also provides the following information on the passive service usage</w:t>
      </w:r>
      <w:r w:rsidR="00926067">
        <w:rPr>
          <w:lang w:eastAsia="zh-CN"/>
        </w:rPr>
        <w:t>:</w:t>
      </w:r>
    </w:p>
    <w:p w14:paraId="570AD634" w14:textId="77777777" w:rsidR="00926067" w:rsidRDefault="00926067" w:rsidP="00AD43F0">
      <w:pPr>
        <w:pStyle w:val="1"/>
        <w:numPr>
          <w:ilvl w:val="0"/>
          <w:numId w:val="29"/>
        </w:numPr>
        <w:rPr>
          <w:lang w:eastAsia="zh-CN"/>
        </w:rPr>
      </w:pPr>
      <w:r>
        <w:rPr>
          <w:bCs/>
        </w:rPr>
        <w:t xml:space="preserve">Fengyun-4 MWR has been launched for </w:t>
      </w:r>
      <w:r>
        <w:t>Cloud ice and water vapour detection, which are two components of the hydrological cycle in the upper troposphere, and both are currently poorly measured. A number of missions have been proposed that focus on this technique to measure cloud ice water path, ice particle size and cloud altitude to US and European Space Agencies. Currently, these measurements focus on the 118</w:t>
      </w:r>
      <w:r w:rsidR="0018711B">
        <w:t xml:space="preserve"> </w:t>
      </w:r>
      <w:r>
        <w:t xml:space="preserve">GHz, 183 GHz, 380 GHz, 425 GHz bands. </w:t>
      </w:r>
    </w:p>
    <w:p w14:paraId="55C87AB5" w14:textId="77777777" w:rsidR="008454C8" w:rsidRDefault="00926067" w:rsidP="00AD43F0">
      <w:pPr>
        <w:pStyle w:val="ListParagraph"/>
        <w:numPr>
          <w:ilvl w:val="0"/>
          <w:numId w:val="29"/>
        </w:numPr>
        <w:rPr>
          <w:lang w:val="en-NZ" w:eastAsia="ko-KR"/>
        </w:rPr>
      </w:pPr>
      <w:r>
        <w:rPr>
          <w:bCs/>
        </w:rPr>
        <w:t>Passive remote sensing applications have been designed in the working frequencies as 325</w:t>
      </w:r>
      <w:r>
        <w:t xml:space="preserve"> GHz, 448 GHz, 640 GHz, 664 GHz,</w:t>
      </w:r>
      <w:r w:rsidR="0018711B">
        <w:t xml:space="preserve"> </w:t>
      </w:r>
      <w:r>
        <w:t>874 GHz for ice cloud detection.</w:t>
      </w:r>
    </w:p>
    <w:p w14:paraId="0718483A" w14:textId="77777777" w:rsidR="00B2765E" w:rsidRDefault="00B2765E" w:rsidP="00AD43F0">
      <w:pPr>
        <w:pStyle w:val="ListParagraph"/>
        <w:spacing w:after="120"/>
        <w:ind w:left="0"/>
        <w:rPr>
          <w:b/>
          <w:lang w:val="en-NZ" w:eastAsia="ko-KR"/>
        </w:rPr>
      </w:pPr>
    </w:p>
    <w:p w14:paraId="53BE8223" w14:textId="77777777" w:rsidR="008454C8" w:rsidRPr="00C951EA" w:rsidRDefault="00926067" w:rsidP="00AD43F0">
      <w:pPr>
        <w:pStyle w:val="ListParagraph"/>
        <w:numPr>
          <w:ilvl w:val="1"/>
          <w:numId w:val="22"/>
        </w:numPr>
        <w:ind w:left="0" w:firstLine="0"/>
        <w:rPr>
          <w:b/>
          <w:lang w:val="en-NZ"/>
        </w:rPr>
      </w:pPr>
      <w:r>
        <w:rPr>
          <w:b/>
          <w:lang w:val="en-NZ" w:eastAsia="ko-KR"/>
        </w:rPr>
        <w:t>Summary of issues</w:t>
      </w:r>
      <w:r w:rsidR="008454C8" w:rsidRPr="00C951EA">
        <w:rPr>
          <w:b/>
          <w:lang w:val="en-NZ"/>
        </w:rPr>
        <w:t xml:space="preserve"> raised during the meeting</w:t>
      </w:r>
    </w:p>
    <w:p w14:paraId="4E935C72" w14:textId="77777777" w:rsidR="0032327A" w:rsidRPr="00AD43F0" w:rsidRDefault="0032327A" w:rsidP="00AD43F0">
      <w:pPr>
        <w:ind w:left="720"/>
        <w:rPr>
          <w:lang w:val="en-NZ"/>
        </w:rPr>
      </w:pPr>
      <w:r w:rsidRPr="00AD43F0">
        <w:rPr>
          <w:lang w:val="en-NZ"/>
        </w:rPr>
        <w:t xml:space="preserve">The meeting reviewed the on-going sharing and compatibility studies in WP 1A. </w:t>
      </w:r>
    </w:p>
    <w:p w14:paraId="064E5231" w14:textId="77777777" w:rsidR="0032327A" w:rsidRPr="00AD43F0" w:rsidRDefault="0032327A" w:rsidP="00AD43F0">
      <w:pPr>
        <w:ind w:left="720"/>
        <w:rPr>
          <w:color w:val="FF0000"/>
          <w:lang w:val="en-NZ"/>
        </w:rPr>
      </w:pPr>
      <w:r w:rsidRPr="006B444D">
        <w:t xml:space="preserve">Some APT members pointed out that the current outcome provided by WP </w:t>
      </w:r>
      <w:r>
        <w:t>1A can be applied only to FS applications.</w:t>
      </w:r>
      <w:r>
        <w:rPr>
          <w:color w:val="FF0000"/>
          <w:lang w:val="en-NZ"/>
        </w:rPr>
        <w:t xml:space="preserve"> </w:t>
      </w:r>
      <w:r>
        <w:t xml:space="preserve">The studies on LMS applications are still in progress. APT members recognized that WP 1A is yet to conclude on sharing and compatibility studies. </w:t>
      </w:r>
    </w:p>
    <w:p w14:paraId="05B3CDF0" w14:textId="77777777" w:rsidR="0032327A" w:rsidRDefault="0032327A" w:rsidP="00AD43F0">
      <w:pPr>
        <w:ind w:left="720"/>
      </w:pPr>
    </w:p>
    <w:p w14:paraId="5DF02323" w14:textId="77777777" w:rsidR="0032327A" w:rsidRDefault="0032327A" w:rsidP="00AD43F0">
      <w:pPr>
        <w:ind w:left="720"/>
      </w:pPr>
      <w:r>
        <w:t xml:space="preserve">The meeting also reviewed draft CPM text currently developed by WP 1A, and it was recognized that the identification of the frequency bands that are compatible with both EESS (passive) and RAS with respect to the LMS/FS applications can be achieved by introduction of a new footnote. </w:t>
      </w:r>
    </w:p>
    <w:p w14:paraId="6080E355" w14:textId="77777777" w:rsidR="0032327A" w:rsidRPr="00AD43F0" w:rsidRDefault="0032327A" w:rsidP="00AD43F0">
      <w:pPr>
        <w:ind w:left="720"/>
        <w:rPr>
          <w:color w:val="FF0000"/>
        </w:rPr>
      </w:pPr>
    </w:p>
    <w:p w14:paraId="4B9E2A1E" w14:textId="532B3D96" w:rsidR="0032327A" w:rsidRDefault="00B0105E" w:rsidP="00AD43F0">
      <w:pPr>
        <w:ind w:left="720"/>
      </w:pPr>
      <w:r>
        <w:t>While some APT M</w:t>
      </w:r>
      <w:bookmarkStart w:id="0" w:name="_GoBack"/>
      <w:bookmarkEnd w:id="0"/>
      <w:r w:rsidR="00DF30CB">
        <w:t xml:space="preserve">embers suggested to reflect the WP 1A </w:t>
      </w:r>
      <w:r w:rsidR="0032327A">
        <w:t>on-going study outcome</w:t>
      </w:r>
      <w:r w:rsidR="00DF30CB">
        <w:t xml:space="preserve"> for </w:t>
      </w:r>
      <w:r w:rsidR="0032327A">
        <w:t xml:space="preserve">possible frequency bands to be identified for </w:t>
      </w:r>
      <w:r w:rsidR="00DF30CB">
        <w:t xml:space="preserve">FS </w:t>
      </w:r>
      <w:r w:rsidR="0032327A">
        <w:t xml:space="preserve">(except LMS) </w:t>
      </w:r>
      <w:r w:rsidR="00DF30CB">
        <w:t xml:space="preserve">applications in the Preliminary View section in this meeting, other </w:t>
      </w:r>
      <w:r w:rsidR="0032327A">
        <w:t xml:space="preserve">APT </w:t>
      </w:r>
      <w:r w:rsidR="00DF30CB">
        <w:t xml:space="preserve">members </w:t>
      </w:r>
      <w:r w:rsidR="0032327A">
        <w:t xml:space="preserve">are of the view that it is premature </w:t>
      </w:r>
      <w:r w:rsidR="00DF30CB">
        <w:t xml:space="preserve">to </w:t>
      </w:r>
      <w:r w:rsidR="0032327A">
        <w:t>agree on any frequency bands to be identified before WP 1A concludes the sharing and compatibility studies.</w:t>
      </w:r>
    </w:p>
    <w:p w14:paraId="7B94EEE7" w14:textId="77777777" w:rsidR="0032327A" w:rsidRDefault="0032327A" w:rsidP="00A614BF">
      <w:pPr>
        <w:rPr>
          <w:lang w:eastAsia="zh-CN"/>
        </w:rPr>
      </w:pPr>
    </w:p>
    <w:p w14:paraId="1B9DFD0B" w14:textId="77777777" w:rsidR="00DB3F76" w:rsidRDefault="00DB3F76" w:rsidP="00AD43F0">
      <w:pPr>
        <w:rPr>
          <w:lang w:val="en-NZ"/>
        </w:rPr>
      </w:pPr>
    </w:p>
    <w:p w14:paraId="170162D8" w14:textId="77777777" w:rsidR="00B64A60" w:rsidRPr="00C951EA" w:rsidRDefault="004465AA" w:rsidP="00AD43F0">
      <w:pPr>
        <w:pStyle w:val="ListParagraph"/>
        <w:numPr>
          <w:ilvl w:val="0"/>
          <w:numId w:val="22"/>
        </w:numPr>
        <w:ind w:left="0" w:firstLine="0"/>
        <w:rPr>
          <w:b/>
          <w:lang w:val="en-NZ" w:eastAsia="ko-KR"/>
        </w:rPr>
      </w:pPr>
      <w:r w:rsidRPr="00C951EA">
        <w:rPr>
          <w:b/>
          <w:lang w:val="en-NZ" w:eastAsia="ko-KR"/>
        </w:rPr>
        <w:t xml:space="preserve">APT </w:t>
      </w:r>
      <w:r w:rsidR="00B64A60" w:rsidRPr="00C951EA">
        <w:rPr>
          <w:b/>
          <w:lang w:val="en-NZ" w:eastAsia="ko-KR"/>
        </w:rPr>
        <w:t>Preliminary View</w:t>
      </w:r>
      <w:r w:rsidR="00D53688" w:rsidRPr="00C951EA">
        <w:rPr>
          <w:b/>
          <w:lang w:val="en-NZ" w:eastAsia="ko-KR"/>
        </w:rPr>
        <w:t>(s)</w:t>
      </w:r>
    </w:p>
    <w:p w14:paraId="2B39B5C3" w14:textId="77777777" w:rsidR="00FF301C" w:rsidRDefault="00FF301C" w:rsidP="00AD43F0">
      <w:pPr>
        <w:ind w:left="720"/>
        <w:rPr>
          <w:lang w:val="en-NZ" w:eastAsia="zh-CN"/>
        </w:rPr>
      </w:pPr>
    </w:p>
    <w:p w14:paraId="5FFEC3A5" w14:textId="77777777" w:rsidR="000C35D3" w:rsidRPr="006B444D" w:rsidRDefault="006A30E4" w:rsidP="00AD43F0">
      <w:pPr>
        <w:ind w:left="720"/>
        <w:rPr>
          <w:rFonts w:eastAsiaTheme="minorEastAsia"/>
          <w:lang w:eastAsia="ja-JP"/>
        </w:rPr>
      </w:pPr>
      <w:r w:rsidRPr="00AD43F0">
        <w:rPr>
          <w:lang w:val="en-NZ" w:eastAsia="ko-KR"/>
        </w:rPr>
        <w:t xml:space="preserve">APT Members support the ITU-R studies to consider identification of </w:t>
      </w:r>
      <w:r w:rsidRPr="00AD43F0">
        <w:t>frequency bands for use by the land-mobile and fixed service applications operating in the frequency range 275-450 GHz,</w:t>
      </w:r>
      <w:r w:rsidR="000C35D3" w:rsidRPr="006B444D">
        <w:t xml:space="preserve"> provided that the protection of</w:t>
      </w:r>
      <w:r w:rsidRPr="00AD43F0">
        <w:t xml:space="preserve"> passive services </w:t>
      </w:r>
      <w:r w:rsidRPr="00AD43F0">
        <w:rPr>
          <w:rFonts w:eastAsiaTheme="minorEastAsia"/>
          <w:lang w:eastAsia="ja-JP"/>
        </w:rPr>
        <w:t>identified in No.</w:t>
      </w:r>
      <w:r w:rsidRPr="00AD43F0">
        <w:rPr>
          <w:rFonts w:eastAsiaTheme="minorEastAsia"/>
          <w:b/>
          <w:lang w:eastAsia="ja-JP"/>
        </w:rPr>
        <w:t>5.565</w:t>
      </w:r>
      <w:r w:rsidRPr="00AD43F0">
        <w:rPr>
          <w:rFonts w:eastAsiaTheme="minorEastAsia"/>
          <w:lang w:eastAsia="ja-JP"/>
        </w:rPr>
        <w:t xml:space="preserve"> is ensured.</w:t>
      </w:r>
      <w:r w:rsidR="000C35D3" w:rsidRPr="006B444D">
        <w:rPr>
          <w:rFonts w:eastAsiaTheme="minorEastAsia"/>
          <w:lang w:eastAsia="ja-JP"/>
        </w:rPr>
        <w:t xml:space="preserve"> If such identification is made, </w:t>
      </w:r>
      <w:r w:rsidR="000C35D3" w:rsidRPr="00AD43F0">
        <w:t>APT Members support a method of adding a new footnote to the relevant part of the Radio Regulations.</w:t>
      </w:r>
    </w:p>
    <w:p w14:paraId="7D25B1E3" w14:textId="77777777" w:rsidR="00C56024" w:rsidRPr="006B444D" w:rsidRDefault="00C56024" w:rsidP="00AD43F0">
      <w:pPr>
        <w:rPr>
          <w:lang w:val="en-NZ" w:eastAsia="zh-CN"/>
        </w:rPr>
      </w:pPr>
    </w:p>
    <w:p w14:paraId="2A26429C" w14:textId="77777777" w:rsidR="00FD6235" w:rsidRPr="006B444D" w:rsidRDefault="00FD6235" w:rsidP="00AD43F0">
      <w:pPr>
        <w:rPr>
          <w:lang w:val="en-NZ"/>
        </w:rPr>
      </w:pPr>
    </w:p>
    <w:p w14:paraId="18D618F1" w14:textId="77777777" w:rsidR="00B64A60" w:rsidRPr="006B444D" w:rsidRDefault="00B64A60" w:rsidP="00AD43F0">
      <w:pPr>
        <w:pStyle w:val="ListParagraph"/>
        <w:numPr>
          <w:ilvl w:val="0"/>
          <w:numId w:val="22"/>
        </w:numPr>
        <w:ind w:left="0" w:firstLine="0"/>
        <w:rPr>
          <w:b/>
          <w:lang w:val="en-NZ" w:eastAsia="ko-KR"/>
        </w:rPr>
      </w:pPr>
      <w:r w:rsidRPr="006B444D">
        <w:rPr>
          <w:b/>
          <w:lang w:val="en-NZ" w:eastAsia="ko-KR"/>
        </w:rPr>
        <w:t>Other Views</w:t>
      </w:r>
      <w:r w:rsidR="0080592F" w:rsidRPr="006B444D">
        <w:rPr>
          <w:b/>
          <w:lang w:val="en-NZ" w:eastAsia="ko-KR"/>
        </w:rPr>
        <w:t xml:space="preserve"> from APT Members</w:t>
      </w:r>
    </w:p>
    <w:p w14:paraId="688786DA" w14:textId="269F6F9A" w:rsidR="006B444D" w:rsidRDefault="0032327A" w:rsidP="00AD43F0">
      <w:pPr>
        <w:ind w:left="720"/>
      </w:pPr>
      <w:r w:rsidRPr="00AD43F0">
        <w:lastRenderedPageBreak/>
        <w:t xml:space="preserve">Some APT Members support possible identification of FS applications in all bands in the frequency range 275-450 GHz, except </w:t>
      </w:r>
      <w:r w:rsidRPr="00AD43F0">
        <w:rPr>
          <w:rStyle w:val="BookTitle"/>
          <w:b w:val="0"/>
          <w:i w:val="0"/>
        </w:rPr>
        <w:t>296</w:t>
      </w:r>
      <w:r w:rsidRPr="00AD43F0">
        <w:t xml:space="preserve">-306 GHz, 313-320 GHz and 331-356 GHz. </w:t>
      </w:r>
      <w:r w:rsidR="00FF301C">
        <w:t>T</w:t>
      </w:r>
      <w:r w:rsidR="00FF301C">
        <w:rPr>
          <w:lang w:eastAsia="zh-CN"/>
        </w:rPr>
        <w:t>heir</w:t>
      </w:r>
      <w:r w:rsidR="00FF301C" w:rsidRPr="00AD43F0">
        <w:t xml:space="preserve"> </w:t>
      </w:r>
      <w:r w:rsidRPr="00AD43F0">
        <w:t>view may change pending further studies in WP 1A.</w:t>
      </w:r>
    </w:p>
    <w:p w14:paraId="3389B263" w14:textId="77777777" w:rsidR="002D1354" w:rsidRDefault="002D1354" w:rsidP="00AD43F0">
      <w:pPr>
        <w:ind w:left="720"/>
      </w:pPr>
    </w:p>
    <w:p w14:paraId="324D46F7" w14:textId="238F06DC" w:rsidR="0032327A" w:rsidRDefault="002D1354" w:rsidP="00AD43F0">
      <w:pPr>
        <w:ind w:left="720"/>
        <w:rPr>
          <w:lang w:val="en-NZ" w:eastAsia="zh-CN"/>
        </w:rPr>
      </w:pPr>
      <w:r w:rsidRPr="00AD43F0">
        <w:t xml:space="preserve">Some APT Members do not support the identification of </w:t>
      </w:r>
      <w:r w:rsidRPr="00AD43F0">
        <w:rPr>
          <w:rStyle w:val="BookTitle"/>
          <w:b w:val="0"/>
          <w:i w:val="0"/>
        </w:rPr>
        <w:t>296</w:t>
      </w:r>
      <w:r w:rsidRPr="00AD43F0">
        <w:t>-306 GHz, 313-320 GHz and 331-356 GHz for the FS</w:t>
      </w:r>
      <w:r>
        <w:t xml:space="preserve"> applications because the current outcomes of sharing and compatibility studies in ITU-R WP1A shows infeasibility between FS application and </w:t>
      </w:r>
      <w:r>
        <w:rPr>
          <w:lang w:eastAsia="zh-CN"/>
        </w:rPr>
        <w:t>EESS (passive). Some APT Members consider that it is premature to support identification of the rest of the bands in the frequency range 275-450GHz for FS</w:t>
      </w:r>
      <w:r>
        <w:rPr>
          <w:rFonts w:hint="eastAsia"/>
          <w:lang w:eastAsia="zh-CN"/>
        </w:rPr>
        <w:t xml:space="preserve"> </w:t>
      </w:r>
      <w:r>
        <w:rPr>
          <w:lang w:eastAsia="zh-CN"/>
        </w:rPr>
        <w:t>application before ITU-R WP1A finalizes sharing and compatibility studies requested by Resolution 767 (WRC-15).</w:t>
      </w:r>
    </w:p>
    <w:p w14:paraId="3BEC9BEC" w14:textId="77777777" w:rsidR="002D1354" w:rsidRPr="006B444D" w:rsidRDefault="002D1354" w:rsidP="00AD43F0">
      <w:pPr>
        <w:ind w:left="720"/>
        <w:rPr>
          <w:lang w:val="en-NZ"/>
        </w:rPr>
      </w:pPr>
    </w:p>
    <w:p w14:paraId="59A84F8A" w14:textId="21C15C26" w:rsidR="0032327A" w:rsidRPr="006B444D" w:rsidRDefault="0032327A" w:rsidP="00AD43F0">
      <w:pPr>
        <w:ind w:left="720"/>
        <w:rPr>
          <w:lang w:val="en-NZ"/>
        </w:rPr>
      </w:pPr>
      <w:r w:rsidRPr="006B444D">
        <w:rPr>
          <w:lang w:val="en-NZ"/>
        </w:rPr>
        <w:t xml:space="preserve">Some APT </w:t>
      </w:r>
      <w:r w:rsidR="00FF301C">
        <w:rPr>
          <w:lang w:val="en-NZ"/>
        </w:rPr>
        <w:t>M</w:t>
      </w:r>
      <w:r w:rsidRPr="006B444D">
        <w:rPr>
          <w:lang w:val="en-NZ"/>
        </w:rPr>
        <w:t xml:space="preserve">embers support </w:t>
      </w:r>
      <w:r w:rsidRPr="00AD43F0">
        <w:t>possible</w:t>
      </w:r>
      <w:r w:rsidRPr="006B444D">
        <w:rPr>
          <w:lang w:val="en-NZ"/>
        </w:rPr>
        <w:t xml:space="preserve"> identification of LMS applications in all bands in the frequency range </w:t>
      </w:r>
      <w:r w:rsidRPr="00AD43F0">
        <w:t>275-450 GHz. Th</w:t>
      </w:r>
      <w:r w:rsidR="00FF301C">
        <w:t>eir</w:t>
      </w:r>
      <w:r w:rsidRPr="00AD43F0">
        <w:t xml:space="preserve"> view may change pending further studies in WP 1A.</w:t>
      </w:r>
    </w:p>
    <w:p w14:paraId="29004ADC" w14:textId="77777777" w:rsidR="0018711B" w:rsidRPr="006B444D" w:rsidRDefault="0018711B" w:rsidP="00AD43F0">
      <w:pPr>
        <w:ind w:firstLine="720"/>
        <w:rPr>
          <w:lang w:val="en-NZ"/>
        </w:rPr>
      </w:pPr>
    </w:p>
    <w:p w14:paraId="0B4498B7" w14:textId="221D8ECF" w:rsidR="0032327A" w:rsidRPr="00AD43F0" w:rsidRDefault="0032327A" w:rsidP="00AD43F0">
      <w:pPr>
        <w:ind w:left="720"/>
      </w:pPr>
      <w:r w:rsidRPr="00AD43F0">
        <w:t xml:space="preserve">Some APT Members do not support </w:t>
      </w:r>
      <w:r w:rsidR="002D1354">
        <w:rPr>
          <w:rFonts w:hint="eastAsia"/>
          <w:lang w:eastAsia="zh-CN"/>
        </w:rPr>
        <w:t>any</w:t>
      </w:r>
      <w:r w:rsidRPr="00AD43F0">
        <w:t xml:space="preserve"> identification of</w:t>
      </w:r>
      <w:r w:rsidR="002D1354">
        <w:t xml:space="preserve"> LMS applications in the </w:t>
      </w:r>
      <w:r w:rsidR="002D1354">
        <w:rPr>
          <w:lang w:eastAsia="zh-CN"/>
        </w:rPr>
        <w:t>frequency range 275-450GHz</w:t>
      </w:r>
      <w:r w:rsidR="002D1354" w:rsidRPr="00AD43F0">
        <w:rPr>
          <w:rStyle w:val="BookTitle"/>
          <w:b w:val="0"/>
          <w:i w:val="0"/>
        </w:rPr>
        <w:t xml:space="preserve"> </w:t>
      </w:r>
      <w:r w:rsidR="002D1354">
        <w:rPr>
          <w:rStyle w:val="BookTitle"/>
          <w:b w:val="0"/>
          <w:i w:val="0"/>
        </w:rPr>
        <w:t>without sharing and compatibility studies between LMS application and passive services identified in No.5.565.</w:t>
      </w:r>
    </w:p>
    <w:p w14:paraId="61A36032" w14:textId="77777777" w:rsidR="0032327A" w:rsidRPr="006B444D" w:rsidRDefault="0032327A" w:rsidP="00AD43F0">
      <w:pPr>
        <w:ind w:left="720"/>
        <w:rPr>
          <w:lang w:val="en-NZ"/>
        </w:rPr>
      </w:pPr>
    </w:p>
    <w:p w14:paraId="53AE5573" w14:textId="77777777" w:rsidR="0080592F" w:rsidRPr="006B444D" w:rsidRDefault="0080592F" w:rsidP="00AD43F0">
      <w:pPr>
        <w:ind w:firstLine="720"/>
        <w:rPr>
          <w:lang w:val="en-NZ"/>
        </w:rPr>
      </w:pPr>
    </w:p>
    <w:p w14:paraId="6210FD35" w14:textId="77777777" w:rsidR="0080592F" w:rsidRPr="006B444D" w:rsidRDefault="0080592F" w:rsidP="00AD43F0">
      <w:pPr>
        <w:pStyle w:val="ListParagraph"/>
        <w:numPr>
          <w:ilvl w:val="0"/>
          <w:numId w:val="22"/>
        </w:numPr>
        <w:ind w:left="0" w:firstLine="0"/>
        <w:rPr>
          <w:b/>
          <w:lang w:val="en-NZ" w:eastAsia="ko-KR"/>
        </w:rPr>
      </w:pPr>
      <w:r w:rsidRPr="006B444D">
        <w:rPr>
          <w:b/>
          <w:lang w:val="en-NZ" w:eastAsia="ko-KR"/>
        </w:rPr>
        <w:t>Issues for Consideration at next APG Meeting</w:t>
      </w:r>
    </w:p>
    <w:p w14:paraId="40CED1B1" w14:textId="77777777" w:rsidR="0080592F" w:rsidRPr="006B444D" w:rsidRDefault="00DF30CB" w:rsidP="00AD43F0">
      <w:pPr>
        <w:pStyle w:val="ListParagraph"/>
        <w:numPr>
          <w:ilvl w:val="0"/>
          <w:numId w:val="31"/>
        </w:numPr>
        <w:rPr>
          <w:lang w:val="en-NZ"/>
        </w:rPr>
      </w:pPr>
      <w:r w:rsidRPr="006B444D">
        <w:rPr>
          <w:lang w:val="en-NZ"/>
        </w:rPr>
        <w:t xml:space="preserve">Based on the studies in WP 1A, </w:t>
      </w:r>
      <w:r w:rsidR="0032327A" w:rsidRPr="006B444D">
        <w:rPr>
          <w:lang w:val="en-NZ"/>
        </w:rPr>
        <w:t xml:space="preserve">to consider possible </w:t>
      </w:r>
      <w:r w:rsidRPr="006B444D">
        <w:rPr>
          <w:lang w:val="en-NZ"/>
        </w:rPr>
        <w:t xml:space="preserve">frequency bands </w:t>
      </w:r>
      <w:r w:rsidR="006B444D" w:rsidRPr="00AD43F0">
        <w:rPr>
          <w:lang w:val="en-NZ"/>
        </w:rPr>
        <w:t xml:space="preserve">to be identified </w:t>
      </w:r>
      <w:r w:rsidRPr="006B444D">
        <w:rPr>
          <w:lang w:val="en-NZ"/>
        </w:rPr>
        <w:t>for FS/LMS applications.</w:t>
      </w:r>
    </w:p>
    <w:p w14:paraId="594F3B4E" w14:textId="77777777" w:rsidR="006B444D" w:rsidRPr="006B444D" w:rsidRDefault="006B444D" w:rsidP="00AD43F0">
      <w:pPr>
        <w:pStyle w:val="ListParagraph"/>
        <w:numPr>
          <w:ilvl w:val="0"/>
          <w:numId w:val="31"/>
        </w:numPr>
        <w:rPr>
          <w:lang w:val="en-NZ"/>
        </w:rPr>
      </w:pPr>
      <w:r w:rsidRPr="006B444D">
        <w:rPr>
          <w:lang w:val="en-NZ"/>
        </w:rPr>
        <w:t>To consider draft CPM text developed by WP 1A.</w:t>
      </w:r>
    </w:p>
    <w:p w14:paraId="4FA30E87" w14:textId="77777777" w:rsidR="0080592F" w:rsidRDefault="0080592F" w:rsidP="00AD43F0">
      <w:pPr>
        <w:ind w:firstLine="720"/>
        <w:rPr>
          <w:lang w:val="en-NZ"/>
        </w:rPr>
      </w:pPr>
    </w:p>
    <w:p w14:paraId="3D714029" w14:textId="77777777" w:rsidR="003D4BB2" w:rsidRDefault="003D4BB2" w:rsidP="00AD43F0">
      <w:pPr>
        <w:ind w:firstLine="720"/>
        <w:rPr>
          <w:lang w:val="en-NZ"/>
        </w:rPr>
      </w:pPr>
    </w:p>
    <w:p w14:paraId="5F138B44" w14:textId="77777777" w:rsidR="00D53688" w:rsidRPr="00C951EA" w:rsidRDefault="00D53688" w:rsidP="00AD43F0">
      <w:pPr>
        <w:pStyle w:val="ListParagraph"/>
        <w:numPr>
          <w:ilvl w:val="0"/>
          <w:numId w:val="22"/>
        </w:numPr>
        <w:ind w:left="0" w:firstLine="0"/>
        <w:rPr>
          <w:b/>
          <w:lang w:val="en-NZ"/>
        </w:rPr>
      </w:pPr>
      <w:r w:rsidRPr="00C951EA">
        <w:rPr>
          <w:b/>
          <w:lang w:val="en-NZ"/>
        </w:rPr>
        <w:t xml:space="preserve">Views from Other </w:t>
      </w:r>
      <w:r w:rsidR="00A564FB" w:rsidRPr="00C951EA">
        <w:rPr>
          <w:b/>
          <w:lang w:val="en-NZ"/>
        </w:rPr>
        <w:t>Organisations</w:t>
      </w:r>
    </w:p>
    <w:p w14:paraId="0BD29B9A" w14:textId="5BF318A5" w:rsidR="00CD2E73" w:rsidRDefault="00CD2E73" w:rsidP="00AD43F0">
      <w:pPr>
        <w:ind w:left="720"/>
        <w:rPr>
          <w:lang w:val="en-NZ"/>
        </w:rPr>
      </w:pPr>
    </w:p>
    <w:p w14:paraId="0927042F" w14:textId="77777777" w:rsidR="0080592F" w:rsidRDefault="0080592F" w:rsidP="00AD43F0">
      <w:pPr>
        <w:pStyle w:val="ListParagraph"/>
        <w:numPr>
          <w:ilvl w:val="1"/>
          <w:numId w:val="22"/>
        </w:numPr>
        <w:ind w:left="0" w:firstLine="0"/>
        <w:rPr>
          <w:b/>
          <w:lang w:val="en-NZ"/>
        </w:rPr>
      </w:pPr>
      <w:r>
        <w:rPr>
          <w:b/>
          <w:lang w:val="en-NZ"/>
        </w:rPr>
        <w:t>Regional Groups</w:t>
      </w:r>
    </w:p>
    <w:p w14:paraId="21C84055" w14:textId="77777777" w:rsidR="00B0105E" w:rsidRDefault="00B0105E" w:rsidP="00B0105E">
      <w:pPr>
        <w:pStyle w:val="ListParagraph"/>
        <w:ind w:left="0"/>
        <w:rPr>
          <w:b/>
          <w:lang w:val="en-NZ"/>
        </w:rPr>
      </w:pPr>
    </w:p>
    <w:p w14:paraId="38D8461B" w14:textId="77777777" w:rsidR="00D924AD" w:rsidRPr="006D6030" w:rsidRDefault="009947D1" w:rsidP="00AD43F0">
      <w:pPr>
        <w:pStyle w:val="ListParagraph"/>
        <w:numPr>
          <w:ilvl w:val="2"/>
          <w:numId w:val="22"/>
        </w:numPr>
        <w:ind w:left="0" w:firstLine="0"/>
        <w:rPr>
          <w:b/>
          <w:lang w:val="en-NZ"/>
        </w:rPr>
      </w:pPr>
      <w:r w:rsidRPr="006D6030">
        <w:rPr>
          <w:b/>
          <w:lang w:val="en-NZ"/>
        </w:rPr>
        <w:t xml:space="preserve">ASMG </w:t>
      </w:r>
      <w:r w:rsidRPr="00AD43F0">
        <w:rPr>
          <w:b/>
          <w:bCs/>
        </w:rPr>
        <w:t>(</w:t>
      </w:r>
      <w:r w:rsidRPr="00AD43F0">
        <w:rPr>
          <w:b/>
          <w:lang w:val="en-NZ"/>
        </w:rPr>
        <w:t>APG19-2/INF-</w:t>
      </w:r>
      <w:r w:rsidR="00B31050" w:rsidRPr="00AD43F0">
        <w:rPr>
          <w:b/>
          <w:lang w:val="en-NZ"/>
        </w:rPr>
        <w:t>01</w:t>
      </w:r>
      <w:r w:rsidRPr="00AD43F0">
        <w:rPr>
          <w:b/>
          <w:bCs/>
        </w:rPr>
        <w:t>)</w:t>
      </w:r>
    </w:p>
    <w:p w14:paraId="5C065B24" w14:textId="77777777" w:rsidR="00D924AD" w:rsidRDefault="00D924AD" w:rsidP="00AD43F0">
      <w:pPr>
        <w:pStyle w:val="ListParagraph"/>
        <w:rPr>
          <w:b/>
          <w:lang w:val="en-NZ"/>
        </w:rPr>
      </w:pPr>
      <w:r w:rsidRPr="00F369B2">
        <w:rPr>
          <w:lang w:val="en-NZ"/>
        </w:rPr>
        <w:t xml:space="preserve">Follow up and support the current studies to consider identification of frequency bands for use by administrations for the land-mobile and fixed services applications operating in the frequency range 275-450 GHz, while ensuring the protection of passive services identified in No </w:t>
      </w:r>
      <w:r w:rsidRPr="0088561B">
        <w:rPr>
          <w:b/>
          <w:lang w:val="en-NZ"/>
        </w:rPr>
        <w:t>5.565</w:t>
      </w:r>
      <w:r w:rsidRPr="00F369B2">
        <w:rPr>
          <w:lang w:val="en-NZ"/>
        </w:rPr>
        <w:t>, and not adding any additional constraints on these services.</w:t>
      </w:r>
    </w:p>
    <w:p w14:paraId="7AE34C0A" w14:textId="77777777" w:rsidR="00D924AD" w:rsidRDefault="00D924AD" w:rsidP="00AD43F0">
      <w:pPr>
        <w:pStyle w:val="ListParagraph"/>
        <w:ind w:left="0"/>
        <w:rPr>
          <w:b/>
          <w:lang w:val="en-NZ"/>
        </w:rPr>
      </w:pPr>
    </w:p>
    <w:p w14:paraId="0337B3C1" w14:textId="57D336A5" w:rsidR="003A3BC0" w:rsidRDefault="003A3BC0" w:rsidP="00AD43F0">
      <w:pPr>
        <w:pStyle w:val="ListParagraph"/>
        <w:numPr>
          <w:ilvl w:val="2"/>
          <w:numId w:val="22"/>
        </w:numPr>
        <w:ind w:left="0" w:firstLine="0"/>
        <w:rPr>
          <w:b/>
          <w:lang w:val="en-NZ"/>
        </w:rPr>
      </w:pPr>
      <w:r>
        <w:rPr>
          <w:b/>
          <w:lang w:val="en-NZ"/>
        </w:rPr>
        <w:t>ATU</w:t>
      </w:r>
    </w:p>
    <w:p w14:paraId="0AF799C8" w14:textId="6E7AD680" w:rsidR="003A3BC0" w:rsidRDefault="00B0105E" w:rsidP="00B0105E">
      <w:pPr>
        <w:pStyle w:val="ListParagraph"/>
        <w:rPr>
          <w:lang w:val="en-NZ"/>
        </w:rPr>
      </w:pPr>
      <w:r w:rsidRPr="00B0105E">
        <w:rPr>
          <w:lang w:val="en-NZ"/>
        </w:rPr>
        <w:t>None</w:t>
      </w:r>
      <w:r>
        <w:rPr>
          <w:lang w:val="en-NZ"/>
        </w:rPr>
        <w:t>.</w:t>
      </w:r>
    </w:p>
    <w:p w14:paraId="1A58D43F" w14:textId="77777777" w:rsidR="00B0105E" w:rsidRPr="00B0105E" w:rsidRDefault="00B0105E" w:rsidP="00B0105E">
      <w:pPr>
        <w:pStyle w:val="ListParagraph"/>
        <w:rPr>
          <w:lang w:val="en-NZ"/>
        </w:rPr>
      </w:pPr>
    </w:p>
    <w:p w14:paraId="7CE92546" w14:textId="77777777" w:rsidR="009947D1" w:rsidRPr="006D6030" w:rsidRDefault="009947D1" w:rsidP="00AD43F0">
      <w:pPr>
        <w:pStyle w:val="ListParagraph"/>
        <w:numPr>
          <w:ilvl w:val="2"/>
          <w:numId w:val="22"/>
        </w:numPr>
        <w:ind w:left="0" w:firstLine="0"/>
        <w:rPr>
          <w:b/>
          <w:lang w:val="en-NZ"/>
        </w:rPr>
      </w:pPr>
      <w:r w:rsidRPr="006D6030">
        <w:rPr>
          <w:b/>
          <w:lang w:val="en-NZ"/>
        </w:rPr>
        <w:t>CITEL</w:t>
      </w:r>
      <w:r w:rsidR="00506A99" w:rsidRPr="006D6030">
        <w:rPr>
          <w:b/>
          <w:lang w:val="en-NZ"/>
        </w:rPr>
        <w:t xml:space="preserve"> (APG19-3/INF</w:t>
      </w:r>
      <w:r w:rsidR="006D6030" w:rsidRPr="00AD43F0">
        <w:rPr>
          <w:b/>
          <w:lang w:val="en-NZ"/>
        </w:rPr>
        <w:t>-</w:t>
      </w:r>
      <w:r w:rsidR="00506A99" w:rsidRPr="00AD43F0">
        <w:rPr>
          <w:b/>
          <w:lang w:val="en-NZ"/>
        </w:rPr>
        <w:t>08Rev.1</w:t>
      </w:r>
      <w:r w:rsidR="00506A99" w:rsidRPr="006D6030">
        <w:rPr>
          <w:b/>
          <w:lang w:val="en-NZ"/>
        </w:rPr>
        <w:t>)</w:t>
      </w:r>
    </w:p>
    <w:p w14:paraId="1747E232" w14:textId="77777777" w:rsidR="009947D1" w:rsidRPr="002439BD" w:rsidRDefault="002439BD" w:rsidP="00AD43F0">
      <w:pPr>
        <w:ind w:left="720"/>
        <w:rPr>
          <w:lang w:val="en-NZ"/>
        </w:rPr>
      </w:pPr>
      <w:r w:rsidRPr="00AD43F0">
        <w:rPr>
          <w:lang w:val="en-NZ"/>
        </w:rPr>
        <w:t>Land-mobile and fixed services identification in the 275-450 GHz range, some are of the view that it may be possible to develop a similar footnote to that in no. 5.565 for land-mobile and fixed services identifying bands for terrestrial active service use</w:t>
      </w:r>
      <w:r>
        <w:rPr>
          <w:lang w:val="en-NZ"/>
        </w:rPr>
        <w:t>.</w:t>
      </w:r>
      <w:r w:rsidRPr="00AD43F0">
        <w:rPr>
          <w:lang w:val="en-NZ"/>
        </w:rPr>
        <w:t xml:space="preserve"> </w:t>
      </w:r>
    </w:p>
    <w:p w14:paraId="3BBD6411" w14:textId="77777777" w:rsidR="009947D1" w:rsidRDefault="009947D1" w:rsidP="00AD43F0">
      <w:pPr>
        <w:pStyle w:val="ListParagraph"/>
        <w:ind w:left="0"/>
        <w:rPr>
          <w:b/>
          <w:lang w:val="en-NZ"/>
        </w:rPr>
      </w:pPr>
    </w:p>
    <w:p w14:paraId="6BB4BA16" w14:textId="77777777" w:rsidR="0018711B" w:rsidRPr="006D6030" w:rsidRDefault="0018711B" w:rsidP="00AD43F0">
      <w:pPr>
        <w:pStyle w:val="ListParagraph"/>
        <w:numPr>
          <w:ilvl w:val="2"/>
          <w:numId w:val="22"/>
        </w:numPr>
        <w:ind w:left="0" w:firstLine="0"/>
        <w:rPr>
          <w:b/>
          <w:lang w:val="en-NZ"/>
        </w:rPr>
      </w:pPr>
      <w:r w:rsidRPr="006D6030">
        <w:rPr>
          <w:b/>
          <w:lang w:val="en-NZ"/>
        </w:rPr>
        <w:t>CEPT</w:t>
      </w:r>
      <w:r w:rsidR="009947D1" w:rsidRPr="006D6030">
        <w:rPr>
          <w:b/>
          <w:lang w:val="en-NZ"/>
        </w:rPr>
        <w:t xml:space="preserve"> </w:t>
      </w:r>
      <w:r w:rsidR="009947D1" w:rsidRPr="00AD43F0">
        <w:rPr>
          <w:b/>
          <w:bCs/>
        </w:rPr>
        <w:t>(</w:t>
      </w:r>
      <w:r w:rsidR="009947D1" w:rsidRPr="00AD43F0">
        <w:rPr>
          <w:b/>
          <w:lang w:val="en-NZ"/>
        </w:rPr>
        <w:t>APG19-3/INF-06</w:t>
      </w:r>
      <w:r w:rsidR="009947D1" w:rsidRPr="00AD43F0">
        <w:rPr>
          <w:b/>
          <w:bCs/>
        </w:rPr>
        <w:t>)</w:t>
      </w:r>
    </w:p>
    <w:p w14:paraId="0F53DD00" w14:textId="77777777" w:rsidR="0018711B" w:rsidRDefault="0018711B" w:rsidP="00AD43F0">
      <w:pPr>
        <w:ind w:left="720"/>
        <w:rPr>
          <w:lang w:val="en-NZ"/>
        </w:rPr>
      </w:pPr>
      <w:r>
        <w:rPr>
          <w:lang w:val="en-NZ"/>
        </w:rPr>
        <w:t xml:space="preserve">CEPT supports the identification of frequency bands for land-mobile and fixed services applications in this frequency range notwithstanding the continued protection of the passive services in the frequency range of 275-450 GHz as identified in No. </w:t>
      </w:r>
      <w:r w:rsidRPr="0018711B">
        <w:rPr>
          <w:b/>
          <w:lang w:val="en-NZ"/>
        </w:rPr>
        <w:t>5.565</w:t>
      </w:r>
      <w:r>
        <w:rPr>
          <w:lang w:val="en-NZ"/>
        </w:rPr>
        <w:t>.</w:t>
      </w:r>
    </w:p>
    <w:p w14:paraId="1F51F7FB" w14:textId="77777777" w:rsidR="00D924AD" w:rsidRDefault="00D924AD" w:rsidP="00AD43F0">
      <w:pPr>
        <w:rPr>
          <w:lang w:val="en-NZ"/>
        </w:rPr>
      </w:pPr>
    </w:p>
    <w:p w14:paraId="26A32DC1" w14:textId="77777777" w:rsidR="00D924AD" w:rsidRPr="006D6030" w:rsidRDefault="00D924AD" w:rsidP="00AD43F0">
      <w:pPr>
        <w:pStyle w:val="ListParagraph"/>
        <w:numPr>
          <w:ilvl w:val="2"/>
          <w:numId w:val="22"/>
        </w:numPr>
        <w:ind w:left="0" w:firstLine="0"/>
        <w:rPr>
          <w:b/>
          <w:lang w:val="en-NZ"/>
        </w:rPr>
      </w:pPr>
      <w:r w:rsidRPr="006D6030">
        <w:rPr>
          <w:b/>
          <w:lang w:val="en-NZ"/>
        </w:rPr>
        <w:t xml:space="preserve">RCC </w:t>
      </w:r>
      <w:r w:rsidR="009947D1" w:rsidRPr="00AD43F0">
        <w:rPr>
          <w:b/>
          <w:bCs/>
        </w:rPr>
        <w:t>(</w:t>
      </w:r>
      <w:r w:rsidR="009947D1" w:rsidRPr="00AD43F0">
        <w:rPr>
          <w:b/>
          <w:lang w:val="en-NZ"/>
        </w:rPr>
        <w:t>APG19-2/INF-</w:t>
      </w:r>
      <w:r w:rsidR="002F1F4A" w:rsidRPr="00AD43F0">
        <w:rPr>
          <w:b/>
          <w:lang w:val="en-NZ"/>
        </w:rPr>
        <w:t>05</w:t>
      </w:r>
      <w:r w:rsidR="009947D1" w:rsidRPr="00AD43F0">
        <w:rPr>
          <w:b/>
          <w:bCs/>
        </w:rPr>
        <w:t>)</w:t>
      </w:r>
    </w:p>
    <w:p w14:paraId="5D1F0939" w14:textId="77777777" w:rsidR="00D924AD" w:rsidRDefault="00D924AD" w:rsidP="00AD43F0">
      <w:pPr>
        <w:pStyle w:val="ListParagraph"/>
      </w:pPr>
      <w:r w:rsidRPr="00D924AD">
        <w:rPr>
          <w:bCs/>
        </w:rPr>
        <w:lastRenderedPageBreak/>
        <w:t>The RCC Administrations consider it reasonable</w:t>
      </w:r>
      <w:r>
        <w:t xml:space="preserve"> that identification of frequency bands for land-mobile and fixed service applications in 275-450 GHz band in the RR No. 5.565 will facilitate global harmonization of radio frequencies for development and introduction of land mobile and fixed service applications above 275 GHz.</w:t>
      </w:r>
    </w:p>
    <w:p w14:paraId="0AB1ADD2" w14:textId="77777777" w:rsidR="00D924AD" w:rsidRDefault="00D924AD" w:rsidP="00AD43F0">
      <w:pPr>
        <w:pStyle w:val="ListParagraph"/>
      </w:pPr>
      <w:r w:rsidRPr="00D924AD">
        <w:rPr>
          <w:bCs/>
        </w:rPr>
        <w:t xml:space="preserve">The RCC Administrations consider that when identifying </w:t>
      </w:r>
      <w:r>
        <w:t xml:space="preserve">frequency bands for active services in 275-450 GHz range, a balance of interests has to be observed in the use of this frequency range by both active and passive services, ensuring possibility for future development of new active service applications while excluding interferences to the passive services in the frequency bands already identified in No. </w:t>
      </w:r>
      <w:r w:rsidRPr="00D924AD">
        <w:rPr>
          <w:b/>
        </w:rPr>
        <w:t>5.565</w:t>
      </w:r>
      <w:r>
        <w:t xml:space="preserve"> of the Radio Regulations.</w:t>
      </w:r>
    </w:p>
    <w:p w14:paraId="5D660A28" w14:textId="77777777" w:rsidR="00D924AD" w:rsidRPr="00D924AD" w:rsidRDefault="00D924AD" w:rsidP="00AD43F0">
      <w:pPr>
        <w:pStyle w:val="ListParagraph"/>
        <w:rPr>
          <w:lang w:val="en-NZ"/>
        </w:rPr>
      </w:pPr>
      <w:r>
        <w:t>The RCC Administrations consider that to provide a balanced use of 275-450 GHz range, frequency bands could be identified for sharing between active and passive services, and also frequency bands for exclusive use by active and passive applications taking into account the frequency bands identified in No. 5.565 for passive services and effect of active applications in the main and adjacent frequency bands.</w:t>
      </w:r>
    </w:p>
    <w:p w14:paraId="2EA09B91" w14:textId="77777777" w:rsidR="0018711B" w:rsidRDefault="0018711B" w:rsidP="00AD43F0">
      <w:pPr>
        <w:rPr>
          <w:b/>
          <w:lang w:val="en-NZ"/>
        </w:rPr>
      </w:pPr>
    </w:p>
    <w:p w14:paraId="627CC6E4" w14:textId="77777777" w:rsidR="0080592F" w:rsidRDefault="0080592F" w:rsidP="00AD43F0">
      <w:pPr>
        <w:pStyle w:val="ListParagraph"/>
        <w:numPr>
          <w:ilvl w:val="1"/>
          <w:numId w:val="22"/>
        </w:numPr>
        <w:ind w:left="0" w:firstLine="0"/>
        <w:rPr>
          <w:b/>
          <w:lang w:val="en-NZ"/>
        </w:rPr>
      </w:pPr>
      <w:r w:rsidRPr="0080592F">
        <w:rPr>
          <w:b/>
          <w:lang w:val="en-NZ"/>
        </w:rPr>
        <w:t>International Organisations</w:t>
      </w:r>
    </w:p>
    <w:p w14:paraId="67E70206" w14:textId="77777777" w:rsidR="006D6030" w:rsidRPr="0080592F" w:rsidRDefault="006D6030" w:rsidP="00AD43F0">
      <w:pPr>
        <w:pStyle w:val="ListParagraph"/>
        <w:ind w:left="0"/>
        <w:rPr>
          <w:b/>
          <w:lang w:val="en-NZ"/>
        </w:rPr>
      </w:pPr>
    </w:p>
    <w:p w14:paraId="2445A148" w14:textId="77777777" w:rsidR="00CD2E73" w:rsidRPr="006D6030" w:rsidRDefault="00CD2E73" w:rsidP="00AD43F0">
      <w:pPr>
        <w:pStyle w:val="ListParagraph"/>
        <w:numPr>
          <w:ilvl w:val="2"/>
          <w:numId w:val="22"/>
        </w:numPr>
        <w:ind w:left="0" w:firstLine="0"/>
        <w:rPr>
          <w:b/>
          <w:lang w:val="en-NZ"/>
        </w:rPr>
      </w:pPr>
      <w:r w:rsidRPr="006D6030">
        <w:rPr>
          <w:b/>
          <w:lang w:val="en-NZ"/>
        </w:rPr>
        <w:t>IARU</w:t>
      </w:r>
      <w:r w:rsidR="009947D1" w:rsidRPr="006D6030">
        <w:rPr>
          <w:b/>
          <w:lang w:val="en-NZ"/>
        </w:rPr>
        <w:t xml:space="preserve"> </w:t>
      </w:r>
      <w:r w:rsidR="009947D1" w:rsidRPr="00AD43F0">
        <w:rPr>
          <w:b/>
          <w:bCs/>
        </w:rPr>
        <w:t>(</w:t>
      </w:r>
      <w:r w:rsidR="009947D1" w:rsidRPr="00AD43F0">
        <w:rPr>
          <w:b/>
          <w:lang w:val="en-NZ"/>
        </w:rPr>
        <w:t>APG19-3/INF-09</w:t>
      </w:r>
      <w:r w:rsidR="009947D1" w:rsidRPr="00AD43F0">
        <w:rPr>
          <w:b/>
          <w:bCs/>
        </w:rPr>
        <w:t>)</w:t>
      </w:r>
    </w:p>
    <w:p w14:paraId="1E491FB9" w14:textId="77777777" w:rsidR="00CD2E73" w:rsidRDefault="0018711B" w:rsidP="00AD43F0">
      <w:pPr>
        <w:pStyle w:val="ListParagraph"/>
        <w:rPr>
          <w:rFonts w:eastAsia="Times New Roman"/>
          <w:kern w:val="2"/>
          <w:lang w:eastAsia="ar-SA"/>
        </w:rPr>
      </w:pPr>
      <w:r>
        <w:rPr>
          <w:rFonts w:eastAsia="Times New Roman"/>
          <w:kern w:val="2"/>
          <w:lang w:eastAsia="ar-SA"/>
        </w:rPr>
        <w:t xml:space="preserve">Resolution </w:t>
      </w:r>
      <w:r>
        <w:rPr>
          <w:rFonts w:eastAsia="Times New Roman"/>
          <w:b/>
          <w:kern w:val="2"/>
          <w:lang w:eastAsia="ar-SA"/>
        </w:rPr>
        <w:t>767</w:t>
      </w:r>
      <w:r>
        <w:rPr>
          <w:rFonts w:eastAsia="Times New Roman"/>
          <w:kern w:val="2"/>
          <w:lang w:eastAsia="ar-SA"/>
        </w:rPr>
        <w:t xml:space="preserve"> (WRC-15) recognizes that the amateur service is developing and demonstrating applications above 275 GHz. As studies proceed to identify candidate frequency bands for the land-mobile and fixed services in the frequency range 275-450 GHz, the IARU supports maintaining access for non-commercial experimentation by stations in the amateur service to as much of the frequency range as possible, consistent with the protection of the passive and other active services.</w:t>
      </w:r>
    </w:p>
    <w:p w14:paraId="7652CA81" w14:textId="77777777" w:rsidR="00C40D53" w:rsidRDefault="00C40D53" w:rsidP="00AD43F0">
      <w:pPr>
        <w:pStyle w:val="ListParagraph"/>
        <w:ind w:left="0"/>
        <w:rPr>
          <w:lang w:val="en-NZ"/>
        </w:rPr>
      </w:pPr>
    </w:p>
    <w:p w14:paraId="612FAFF2" w14:textId="37F6A1E4" w:rsidR="00B64A60" w:rsidRPr="00B0105E" w:rsidRDefault="001F0552" w:rsidP="00AD43F0">
      <w:pPr>
        <w:rPr>
          <w:b/>
          <w:lang w:val="en-NZ"/>
        </w:rPr>
      </w:pPr>
      <w:r w:rsidRPr="00B0105E">
        <w:rPr>
          <w:b/>
          <w:lang w:val="en-NZ"/>
        </w:rPr>
        <w:t>7.2.2</w:t>
      </w:r>
      <w:r w:rsidRPr="00B0105E">
        <w:rPr>
          <w:b/>
          <w:lang w:val="en-NZ"/>
        </w:rPr>
        <w:tab/>
        <w:t>ICAO</w:t>
      </w:r>
    </w:p>
    <w:p w14:paraId="7D7DC521" w14:textId="304F54F4" w:rsidR="00654896" w:rsidRPr="00B0105E" w:rsidRDefault="00B0105E" w:rsidP="00AD43F0">
      <w:pPr>
        <w:rPr>
          <w:lang w:val="en-NZ"/>
        </w:rPr>
      </w:pPr>
      <w:r>
        <w:rPr>
          <w:b/>
          <w:lang w:val="en-NZ"/>
        </w:rPr>
        <w:tab/>
      </w:r>
      <w:r w:rsidRPr="00B0105E">
        <w:rPr>
          <w:lang w:val="en-NZ"/>
        </w:rPr>
        <w:t>None.</w:t>
      </w:r>
    </w:p>
    <w:p w14:paraId="5D008A9B" w14:textId="77777777" w:rsidR="00B64A60" w:rsidRPr="00710333" w:rsidRDefault="00B64A60" w:rsidP="00B24198">
      <w:pPr>
        <w:jc w:val="center"/>
        <w:rPr>
          <w:snapToGrid w:val="0"/>
          <w:lang w:val="en-NZ"/>
        </w:rPr>
      </w:pPr>
      <w:r w:rsidRPr="00710333">
        <w:rPr>
          <w:lang w:val="en-NZ"/>
        </w:rPr>
        <w:t>____________</w:t>
      </w:r>
    </w:p>
    <w:p w14:paraId="78D253D1" w14:textId="77777777" w:rsidR="00930E64" w:rsidRPr="007673CA" w:rsidRDefault="00930E64" w:rsidP="00AD43F0">
      <w:pPr>
        <w:rPr>
          <w:lang w:val="en-NZ"/>
        </w:rPr>
      </w:pPr>
    </w:p>
    <w:sectPr w:rsidR="00930E64" w:rsidRPr="007673CA" w:rsidSect="00DB0A68">
      <w:headerReference w:type="default" r:id="rId13"/>
      <w:footerReference w:type="even" r:id="rId14"/>
      <w:footerReference w:type="default" r:id="rId15"/>
      <w:footerReference w:type="first" r:id="rId1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EE6D" w14:textId="77777777" w:rsidR="00F5290C" w:rsidRDefault="00F5290C">
      <w:r>
        <w:separator/>
      </w:r>
    </w:p>
  </w:endnote>
  <w:endnote w:type="continuationSeparator" w:id="0">
    <w:p w14:paraId="4142C146" w14:textId="77777777" w:rsidR="00F5290C" w:rsidRDefault="00F5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0BABA" w14:textId="77777777" w:rsidR="000C35D3" w:rsidRDefault="000C35D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83108" w14:textId="77777777" w:rsidR="000C35D3" w:rsidRDefault="000C35D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C4CD" w14:textId="6E521ABA" w:rsidR="000C35D3" w:rsidRPr="003276A5" w:rsidRDefault="000C35D3" w:rsidP="003276A5">
    <w:pPr>
      <w:pStyle w:val="Footer"/>
      <w:tabs>
        <w:tab w:val="clear" w:pos="4320"/>
        <w:tab w:val="clear" w:pos="8640"/>
        <w:tab w:val="right" w:pos="9180"/>
      </w:tabs>
      <w:ind w:right="-7"/>
    </w:pPr>
    <w:r>
      <w:rPr>
        <w:rFonts w:hint="eastAsia"/>
        <w:lang w:eastAsia="ko-KR"/>
      </w:rPr>
      <w:t>A</w:t>
    </w:r>
    <w:r w:rsidR="00F81032">
      <w:rPr>
        <w:lang w:eastAsia="ko-KR"/>
      </w:rPr>
      <w:t>PG19-3/OUT-07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0105E">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0105E">
      <w:rPr>
        <w:rStyle w:val="PageNumber"/>
        <w:noProof/>
      </w:rPr>
      <w:t>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0105E" w:rsidRPr="00EB1DED" w14:paraId="4301E798" w14:textId="77777777" w:rsidTr="009A00EE">
      <w:trPr>
        <w:cantSplit/>
        <w:trHeight w:val="204"/>
        <w:jc w:val="center"/>
      </w:trPr>
      <w:tc>
        <w:tcPr>
          <w:tcW w:w="1617" w:type="dxa"/>
          <w:tcBorders>
            <w:top w:val="single" w:sz="12" w:space="0" w:color="auto"/>
          </w:tcBorders>
        </w:tcPr>
        <w:p w14:paraId="17ACDA4C" w14:textId="77777777" w:rsidR="00B0105E" w:rsidRPr="00EB1DED" w:rsidRDefault="00B0105E" w:rsidP="00B0105E">
          <w:pPr>
            <w:rPr>
              <w:b/>
              <w:bCs/>
            </w:rPr>
          </w:pPr>
          <w:r w:rsidRPr="00EB1DED">
            <w:rPr>
              <w:b/>
              <w:bCs/>
            </w:rPr>
            <w:t>Contact:</w:t>
          </w:r>
        </w:p>
      </w:tc>
      <w:tc>
        <w:tcPr>
          <w:tcW w:w="4394" w:type="dxa"/>
          <w:tcBorders>
            <w:top w:val="single" w:sz="12" w:space="0" w:color="auto"/>
          </w:tcBorders>
        </w:tcPr>
        <w:p w14:paraId="5D3F42A4" w14:textId="77777777" w:rsidR="00B0105E" w:rsidRPr="00EB1DED" w:rsidRDefault="00B0105E" w:rsidP="00B0105E">
          <w:r w:rsidRPr="00EB1DED">
            <w:t>MS. ZHU KEER</w:t>
          </w:r>
        </w:p>
        <w:p w14:paraId="5EEC6DC9" w14:textId="77777777" w:rsidR="00B0105E" w:rsidRPr="00EB1DED" w:rsidRDefault="00B0105E" w:rsidP="00B0105E">
          <w:pPr>
            <w:rPr>
              <w:rFonts w:eastAsia="Batang"/>
            </w:rPr>
          </w:pPr>
          <w:r w:rsidRPr="00EB1DED">
            <w:t>Chairman, WP1</w:t>
          </w:r>
        </w:p>
      </w:tc>
      <w:tc>
        <w:tcPr>
          <w:tcW w:w="3912" w:type="dxa"/>
          <w:tcBorders>
            <w:top w:val="single" w:sz="12" w:space="0" w:color="auto"/>
          </w:tcBorders>
        </w:tcPr>
        <w:p w14:paraId="2F3C9A8D" w14:textId="77777777" w:rsidR="00B0105E" w:rsidRPr="00EB1DED" w:rsidRDefault="00B0105E" w:rsidP="00B0105E">
          <w:pPr>
            <w:rPr>
              <w:lang w:eastAsia="ja-JP"/>
            </w:rPr>
          </w:pPr>
          <w:r w:rsidRPr="00EB1DED">
            <w:rPr>
              <w:lang w:eastAsia="ja-JP"/>
            </w:rPr>
            <w:t xml:space="preserve">Email: </w:t>
          </w:r>
          <w:hyperlink r:id="rId1" w:history="1">
            <w:r w:rsidRPr="00EB1DED">
              <w:rPr>
                <w:color w:val="0000FF" w:themeColor="hyperlink"/>
                <w:u w:val="single"/>
                <w:lang w:eastAsia="ja-JP"/>
              </w:rPr>
              <w:t>zhukeer@miit.gov.cn</w:t>
            </w:r>
          </w:hyperlink>
          <w:r w:rsidRPr="00EB1DED">
            <w:rPr>
              <w:lang w:eastAsia="ja-JP"/>
            </w:rPr>
            <w:t xml:space="preserve"> </w:t>
          </w:r>
        </w:p>
      </w:tc>
    </w:tr>
  </w:tbl>
  <w:p w14:paraId="67F67F7E" w14:textId="77777777" w:rsidR="000C35D3" w:rsidRDefault="000C3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7A0CE" w14:textId="77777777" w:rsidR="00F5290C" w:rsidRDefault="00F5290C">
      <w:r>
        <w:separator/>
      </w:r>
    </w:p>
  </w:footnote>
  <w:footnote w:type="continuationSeparator" w:id="0">
    <w:p w14:paraId="4F15D842" w14:textId="77777777" w:rsidR="00F5290C" w:rsidRDefault="00F5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3B97" w14:textId="77777777" w:rsidR="000C35D3" w:rsidRDefault="000C35D3" w:rsidP="00C15633">
    <w:pPr>
      <w:pStyle w:val="Header"/>
      <w:tabs>
        <w:tab w:val="center" w:pos="4763"/>
        <w:tab w:val="left" w:pos="5820"/>
      </w:tabs>
      <w:rPr>
        <w:lang w:eastAsia="ko-KR"/>
      </w:rPr>
    </w:pPr>
    <w:r>
      <w:rPr>
        <w:lang w:eastAsia="ko-KR"/>
      </w:rPr>
      <w:tab/>
    </w:r>
  </w:p>
  <w:p w14:paraId="261EC80E" w14:textId="77777777" w:rsidR="000C35D3" w:rsidRDefault="000C35D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24C"/>
    <w:multiLevelType w:val="multilevel"/>
    <w:tmpl w:val="01CB724C"/>
    <w:lvl w:ilvl="0">
      <w:start w:val="1"/>
      <w:numFmt w:val="decimal"/>
      <w:lvlText w:val="%1)"/>
      <w:lvlJc w:val="left"/>
      <w:pPr>
        <w:ind w:left="360" w:hanging="36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C03B6"/>
    <w:multiLevelType w:val="hybridMultilevel"/>
    <w:tmpl w:val="A5F6582C"/>
    <w:lvl w:ilvl="0" w:tplc="01822890">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 w15:restartNumberingAfterBreak="0">
    <w:nsid w:val="0C0F5990"/>
    <w:multiLevelType w:val="hybridMultilevel"/>
    <w:tmpl w:val="407A1A7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33F7EA2"/>
    <w:multiLevelType w:val="hybridMultilevel"/>
    <w:tmpl w:val="A670B8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414D5F3D"/>
    <w:multiLevelType w:val="hybridMultilevel"/>
    <w:tmpl w:val="0C72EB7E"/>
    <w:lvl w:ilvl="0" w:tplc="1102E760">
      <w:start w:val="1"/>
      <w:numFmt w:val="decimal"/>
      <w:lvlText w:val="%1."/>
      <w:lvlJc w:val="right"/>
      <w:pPr>
        <w:ind w:left="800" w:hanging="400"/>
      </w:pPr>
      <w:rPr>
        <w:rFonts w:hint="default"/>
        <w:b w:val="0"/>
        <w:i/>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68C3B69"/>
    <w:multiLevelType w:val="hybridMultilevel"/>
    <w:tmpl w:val="FBC2E132"/>
    <w:lvl w:ilvl="0" w:tplc="B924316A">
      <w:start w:val="2"/>
      <w:numFmt w:val="bullet"/>
      <w:lvlText w:val="-"/>
      <w:lvlJc w:val="left"/>
      <w:pPr>
        <w:ind w:left="600" w:hanging="360"/>
      </w:pPr>
      <w:rPr>
        <w:rFonts w:ascii="Times New Roman" w:eastAsia="BatangChe" w:hAnsi="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D2F97"/>
    <w:multiLevelType w:val="hybridMultilevel"/>
    <w:tmpl w:val="BB8691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3172F12"/>
    <w:multiLevelType w:val="hybridMultilevel"/>
    <w:tmpl w:val="01DEFB2C"/>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15:restartNumberingAfterBreak="0">
    <w:nsid w:val="67AA30DB"/>
    <w:multiLevelType w:val="hybridMultilevel"/>
    <w:tmpl w:val="4112A29A"/>
    <w:lvl w:ilvl="0" w:tplc="D294FB6E">
      <w:start w:val="1"/>
      <w:numFmt w:val="bullet"/>
      <w:lvlText w:val="-"/>
      <w:lvlJc w:val="left"/>
      <w:pPr>
        <w:ind w:left="1080" w:hanging="360"/>
      </w:pPr>
      <w:rPr>
        <w:rFonts w:ascii="Times New Roman" w:eastAsia="BatangChe"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2CD7B2D"/>
    <w:multiLevelType w:val="multilevel"/>
    <w:tmpl w:val="45E84C6E"/>
    <w:lvl w:ilvl="0">
      <w:start w:val="1"/>
      <w:numFmt w:val="decimal"/>
      <w:lvlText w:val="%1."/>
      <w:lvlJc w:val="left"/>
      <w:pPr>
        <w:ind w:left="1080" w:hanging="72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623936"/>
    <w:multiLevelType w:val="hybridMultilevel"/>
    <w:tmpl w:val="AF7C96B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3"/>
  </w:num>
  <w:num w:numId="2">
    <w:abstractNumId w:val="9"/>
  </w:num>
  <w:num w:numId="3">
    <w:abstractNumId w:val="8"/>
  </w:num>
  <w:num w:numId="4">
    <w:abstractNumId w:val="24"/>
  </w:num>
  <w:num w:numId="5">
    <w:abstractNumId w:val="12"/>
  </w:num>
  <w:num w:numId="6">
    <w:abstractNumId w:val="14"/>
  </w:num>
  <w:num w:numId="7">
    <w:abstractNumId w:val="6"/>
  </w:num>
  <w:num w:numId="8">
    <w:abstractNumId w:val="4"/>
  </w:num>
  <w:num w:numId="9">
    <w:abstractNumId w:val="28"/>
  </w:num>
  <w:num w:numId="10">
    <w:abstractNumId w:val="20"/>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9"/>
  </w:num>
  <w:num w:numId="17">
    <w:abstractNumId w:val="19"/>
  </w:num>
  <w:num w:numId="18">
    <w:abstractNumId w:val="15"/>
  </w:num>
  <w:num w:numId="19">
    <w:abstractNumId w:val="27"/>
  </w:num>
  <w:num w:numId="20">
    <w:abstractNumId w:val="11"/>
  </w:num>
  <w:num w:numId="21">
    <w:abstractNumId w:val="21"/>
  </w:num>
  <w:num w:numId="22">
    <w:abstractNumId w:val="25"/>
  </w:num>
  <w:num w:numId="23">
    <w:abstractNumId w:val="23"/>
  </w:num>
  <w:num w:numId="24">
    <w:abstractNumId w:val="16"/>
  </w:num>
  <w:num w:numId="25">
    <w:abstractNumId w:val="5"/>
  </w:num>
  <w:num w:numId="26">
    <w:abstractNumId w:val="26"/>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353BF"/>
    <w:rsid w:val="0003595B"/>
    <w:rsid w:val="00035F58"/>
    <w:rsid w:val="00036517"/>
    <w:rsid w:val="00036CC9"/>
    <w:rsid w:val="00046295"/>
    <w:rsid w:val="000479D2"/>
    <w:rsid w:val="00051FA5"/>
    <w:rsid w:val="00070642"/>
    <w:rsid w:val="000713CF"/>
    <w:rsid w:val="00075C14"/>
    <w:rsid w:val="000822B5"/>
    <w:rsid w:val="00094B87"/>
    <w:rsid w:val="000A012B"/>
    <w:rsid w:val="000A5418"/>
    <w:rsid w:val="000C35D3"/>
    <w:rsid w:val="000C7502"/>
    <w:rsid w:val="000E0308"/>
    <w:rsid w:val="000F345F"/>
    <w:rsid w:val="000F4ED2"/>
    <w:rsid w:val="000F4F36"/>
    <w:rsid w:val="000F517C"/>
    <w:rsid w:val="000F5540"/>
    <w:rsid w:val="00105F1A"/>
    <w:rsid w:val="00125242"/>
    <w:rsid w:val="00126DBD"/>
    <w:rsid w:val="001409B2"/>
    <w:rsid w:val="00152636"/>
    <w:rsid w:val="00152A6D"/>
    <w:rsid w:val="001539DD"/>
    <w:rsid w:val="00156782"/>
    <w:rsid w:val="00163109"/>
    <w:rsid w:val="001655FE"/>
    <w:rsid w:val="001731F4"/>
    <w:rsid w:val="00177CB8"/>
    <w:rsid w:val="0018711B"/>
    <w:rsid w:val="00187974"/>
    <w:rsid w:val="00196568"/>
    <w:rsid w:val="00197C18"/>
    <w:rsid w:val="001A2F16"/>
    <w:rsid w:val="001B1804"/>
    <w:rsid w:val="001B18C2"/>
    <w:rsid w:val="001B4C3B"/>
    <w:rsid w:val="001C61A5"/>
    <w:rsid w:val="001C6707"/>
    <w:rsid w:val="001D5CFC"/>
    <w:rsid w:val="001D5D7E"/>
    <w:rsid w:val="001E7296"/>
    <w:rsid w:val="001F0552"/>
    <w:rsid w:val="001F4512"/>
    <w:rsid w:val="001F5947"/>
    <w:rsid w:val="0020130B"/>
    <w:rsid w:val="00202410"/>
    <w:rsid w:val="00214A0C"/>
    <w:rsid w:val="0021588B"/>
    <w:rsid w:val="002216AC"/>
    <w:rsid w:val="0024068F"/>
    <w:rsid w:val="002439BD"/>
    <w:rsid w:val="002506D2"/>
    <w:rsid w:val="00250DE2"/>
    <w:rsid w:val="00254A1B"/>
    <w:rsid w:val="0026064A"/>
    <w:rsid w:val="0028454D"/>
    <w:rsid w:val="00291C9E"/>
    <w:rsid w:val="002926D4"/>
    <w:rsid w:val="00296AD5"/>
    <w:rsid w:val="002972FC"/>
    <w:rsid w:val="0029757D"/>
    <w:rsid w:val="002A18BE"/>
    <w:rsid w:val="002B06A3"/>
    <w:rsid w:val="002B435C"/>
    <w:rsid w:val="002B447F"/>
    <w:rsid w:val="002C07DA"/>
    <w:rsid w:val="002C7EA9"/>
    <w:rsid w:val="002D1354"/>
    <w:rsid w:val="002D366C"/>
    <w:rsid w:val="002D58F6"/>
    <w:rsid w:val="002F1F4A"/>
    <w:rsid w:val="002F4F21"/>
    <w:rsid w:val="002F575D"/>
    <w:rsid w:val="003113D7"/>
    <w:rsid w:val="00320C85"/>
    <w:rsid w:val="0032327A"/>
    <w:rsid w:val="003273CD"/>
    <w:rsid w:val="003276A5"/>
    <w:rsid w:val="0033040E"/>
    <w:rsid w:val="0033663A"/>
    <w:rsid w:val="00342F20"/>
    <w:rsid w:val="00343B44"/>
    <w:rsid w:val="00344612"/>
    <w:rsid w:val="0034642C"/>
    <w:rsid w:val="00346877"/>
    <w:rsid w:val="003508DC"/>
    <w:rsid w:val="00360377"/>
    <w:rsid w:val="00366548"/>
    <w:rsid w:val="003809C7"/>
    <w:rsid w:val="0038236C"/>
    <w:rsid w:val="003920C4"/>
    <w:rsid w:val="00395B40"/>
    <w:rsid w:val="003A3BC0"/>
    <w:rsid w:val="003A6568"/>
    <w:rsid w:val="003B6263"/>
    <w:rsid w:val="003C29E6"/>
    <w:rsid w:val="003C64A7"/>
    <w:rsid w:val="003D1671"/>
    <w:rsid w:val="003D3FDA"/>
    <w:rsid w:val="003D4BB2"/>
    <w:rsid w:val="003D6D00"/>
    <w:rsid w:val="003E166F"/>
    <w:rsid w:val="004001E5"/>
    <w:rsid w:val="00416FE2"/>
    <w:rsid w:val="00420822"/>
    <w:rsid w:val="00420C74"/>
    <w:rsid w:val="00424AE5"/>
    <w:rsid w:val="004465AA"/>
    <w:rsid w:val="00451DD5"/>
    <w:rsid w:val="0045458F"/>
    <w:rsid w:val="00455A36"/>
    <w:rsid w:val="004633B4"/>
    <w:rsid w:val="00463404"/>
    <w:rsid w:val="00475F23"/>
    <w:rsid w:val="00487CCC"/>
    <w:rsid w:val="004A2F96"/>
    <w:rsid w:val="004B3553"/>
    <w:rsid w:val="004B3F4B"/>
    <w:rsid w:val="004C68E3"/>
    <w:rsid w:val="004C7F7D"/>
    <w:rsid w:val="004D031B"/>
    <w:rsid w:val="004E292D"/>
    <w:rsid w:val="004E5E2A"/>
    <w:rsid w:val="0050270C"/>
    <w:rsid w:val="00503189"/>
    <w:rsid w:val="00506A99"/>
    <w:rsid w:val="00506BF2"/>
    <w:rsid w:val="00526D01"/>
    <w:rsid w:val="00530E8C"/>
    <w:rsid w:val="00540C96"/>
    <w:rsid w:val="00545933"/>
    <w:rsid w:val="00552105"/>
    <w:rsid w:val="005562F2"/>
    <w:rsid w:val="00557544"/>
    <w:rsid w:val="00565BBB"/>
    <w:rsid w:val="00584493"/>
    <w:rsid w:val="00585F3C"/>
    <w:rsid w:val="00586CA0"/>
    <w:rsid w:val="00587875"/>
    <w:rsid w:val="005A63EB"/>
    <w:rsid w:val="005C33B6"/>
    <w:rsid w:val="005D6202"/>
    <w:rsid w:val="005D6E98"/>
    <w:rsid w:val="005F6FE8"/>
    <w:rsid w:val="00607E2B"/>
    <w:rsid w:val="006139D6"/>
    <w:rsid w:val="00616D1B"/>
    <w:rsid w:val="00623CE1"/>
    <w:rsid w:val="0063062B"/>
    <w:rsid w:val="00637351"/>
    <w:rsid w:val="00646166"/>
    <w:rsid w:val="006506E5"/>
    <w:rsid w:val="00654896"/>
    <w:rsid w:val="0065753B"/>
    <w:rsid w:val="006621F0"/>
    <w:rsid w:val="00663E8F"/>
    <w:rsid w:val="006647BA"/>
    <w:rsid w:val="00667229"/>
    <w:rsid w:val="00673507"/>
    <w:rsid w:val="006823BE"/>
    <w:rsid w:val="00682BE5"/>
    <w:rsid w:val="00690F59"/>
    <w:rsid w:val="00690FED"/>
    <w:rsid w:val="0069397E"/>
    <w:rsid w:val="006939A3"/>
    <w:rsid w:val="006939A5"/>
    <w:rsid w:val="00695F63"/>
    <w:rsid w:val="00696A7B"/>
    <w:rsid w:val="006A30E4"/>
    <w:rsid w:val="006B3C2C"/>
    <w:rsid w:val="006B444D"/>
    <w:rsid w:val="006C2FCD"/>
    <w:rsid w:val="006D5223"/>
    <w:rsid w:val="006D6030"/>
    <w:rsid w:val="006E12FC"/>
    <w:rsid w:val="006F2B2E"/>
    <w:rsid w:val="006F7B45"/>
    <w:rsid w:val="00705962"/>
    <w:rsid w:val="00706037"/>
    <w:rsid w:val="00707C21"/>
    <w:rsid w:val="00712451"/>
    <w:rsid w:val="00717DE9"/>
    <w:rsid w:val="0072518B"/>
    <w:rsid w:val="00731041"/>
    <w:rsid w:val="007329E4"/>
    <w:rsid w:val="00732F08"/>
    <w:rsid w:val="007342F0"/>
    <w:rsid w:val="0074190C"/>
    <w:rsid w:val="00746174"/>
    <w:rsid w:val="007565D7"/>
    <w:rsid w:val="00762576"/>
    <w:rsid w:val="007673CA"/>
    <w:rsid w:val="00771A53"/>
    <w:rsid w:val="00780321"/>
    <w:rsid w:val="00791060"/>
    <w:rsid w:val="007A3858"/>
    <w:rsid w:val="007B5626"/>
    <w:rsid w:val="007B6124"/>
    <w:rsid w:val="007C71F9"/>
    <w:rsid w:val="007D3C53"/>
    <w:rsid w:val="007F0A28"/>
    <w:rsid w:val="007F2628"/>
    <w:rsid w:val="007F2FBA"/>
    <w:rsid w:val="00800C3A"/>
    <w:rsid w:val="0080570B"/>
    <w:rsid w:val="0080592F"/>
    <w:rsid w:val="008148E1"/>
    <w:rsid w:val="008200DB"/>
    <w:rsid w:val="008319BF"/>
    <w:rsid w:val="00832619"/>
    <w:rsid w:val="008433C2"/>
    <w:rsid w:val="00844457"/>
    <w:rsid w:val="008454C8"/>
    <w:rsid w:val="00851D78"/>
    <w:rsid w:val="00855320"/>
    <w:rsid w:val="00865488"/>
    <w:rsid w:val="00867C2E"/>
    <w:rsid w:val="00875753"/>
    <w:rsid w:val="00881F41"/>
    <w:rsid w:val="0088355F"/>
    <w:rsid w:val="0088561B"/>
    <w:rsid w:val="008A1A0D"/>
    <w:rsid w:val="008A76ED"/>
    <w:rsid w:val="008B3C72"/>
    <w:rsid w:val="008B7F42"/>
    <w:rsid w:val="008D0E09"/>
    <w:rsid w:val="008F2890"/>
    <w:rsid w:val="00903007"/>
    <w:rsid w:val="00913633"/>
    <w:rsid w:val="00923816"/>
    <w:rsid w:val="00926067"/>
    <w:rsid w:val="0093074B"/>
    <w:rsid w:val="00930E64"/>
    <w:rsid w:val="00942284"/>
    <w:rsid w:val="009569B7"/>
    <w:rsid w:val="00956F8C"/>
    <w:rsid w:val="00961D57"/>
    <w:rsid w:val="00976716"/>
    <w:rsid w:val="0097693B"/>
    <w:rsid w:val="00980B0C"/>
    <w:rsid w:val="00993355"/>
    <w:rsid w:val="009947D1"/>
    <w:rsid w:val="0099537F"/>
    <w:rsid w:val="009963F7"/>
    <w:rsid w:val="009A4A6D"/>
    <w:rsid w:val="009E13DD"/>
    <w:rsid w:val="00A0503B"/>
    <w:rsid w:val="00A13265"/>
    <w:rsid w:val="00A139A8"/>
    <w:rsid w:val="00A14900"/>
    <w:rsid w:val="00A2159F"/>
    <w:rsid w:val="00A529BC"/>
    <w:rsid w:val="00A5346C"/>
    <w:rsid w:val="00A562F0"/>
    <w:rsid w:val="00A564FB"/>
    <w:rsid w:val="00A614BF"/>
    <w:rsid w:val="00A614C1"/>
    <w:rsid w:val="00A71136"/>
    <w:rsid w:val="00A809FF"/>
    <w:rsid w:val="00AA474C"/>
    <w:rsid w:val="00AB26DF"/>
    <w:rsid w:val="00AB316C"/>
    <w:rsid w:val="00AB4F81"/>
    <w:rsid w:val="00AB525F"/>
    <w:rsid w:val="00AB7A16"/>
    <w:rsid w:val="00AC35EF"/>
    <w:rsid w:val="00AC74BD"/>
    <w:rsid w:val="00AD2697"/>
    <w:rsid w:val="00AD3C47"/>
    <w:rsid w:val="00AD43F0"/>
    <w:rsid w:val="00AD7BD9"/>
    <w:rsid w:val="00AD7E5F"/>
    <w:rsid w:val="00AE0752"/>
    <w:rsid w:val="00AE3066"/>
    <w:rsid w:val="00AF00C4"/>
    <w:rsid w:val="00AF6572"/>
    <w:rsid w:val="00AF68E4"/>
    <w:rsid w:val="00B0105E"/>
    <w:rsid w:val="00B01AA1"/>
    <w:rsid w:val="00B24198"/>
    <w:rsid w:val="00B2765E"/>
    <w:rsid w:val="00B30C81"/>
    <w:rsid w:val="00B31050"/>
    <w:rsid w:val="00B47277"/>
    <w:rsid w:val="00B4793B"/>
    <w:rsid w:val="00B504DC"/>
    <w:rsid w:val="00B64A60"/>
    <w:rsid w:val="00B71BEC"/>
    <w:rsid w:val="00B81270"/>
    <w:rsid w:val="00B92A0C"/>
    <w:rsid w:val="00B937D7"/>
    <w:rsid w:val="00B96B67"/>
    <w:rsid w:val="00BA599C"/>
    <w:rsid w:val="00BC57EF"/>
    <w:rsid w:val="00BF25F9"/>
    <w:rsid w:val="00C13FD5"/>
    <w:rsid w:val="00C15633"/>
    <w:rsid w:val="00C15799"/>
    <w:rsid w:val="00C32E84"/>
    <w:rsid w:val="00C35415"/>
    <w:rsid w:val="00C357AD"/>
    <w:rsid w:val="00C361AA"/>
    <w:rsid w:val="00C40D53"/>
    <w:rsid w:val="00C4219B"/>
    <w:rsid w:val="00C4345E"/>
    <w:rsid w:val="00C47F83"/>
    <w:rsid w:val="00C554CC"/>
    <w:rsid w:val="00C56024"/>
    <w:rsid w:val="00C6069C"/>
    <w:rsid w:val="00C74745"/>
    <w:rsid w:val="00C85119"/>
    <w:rsid w:val="00C951EA"/>
    <w:rsid w:val="00CA1B76"/>
    <w:rsid w:val="00CB4454"/>
    <w:rsid w:val="00CC27CC"/>
    <w:rsid w:val="00CD2E73"/>
    <w:rsid w:val="00CD320B"/>
    <w:rsid w:val="00CD3F37"/>
    <w:rsid w:val="00CD5431"/>
    <w:rsid w:val="00CE4B93"/>
    <w:rsid w:val="00CF2491"/>
    <w:rsid w:val="00CF3963"/>
    <w:rsid w:val="00D1252E"/>
    <w:rsid w:val="00D13D9D"/>
    <w:rsid w:val="00D2365F"/>
    <w:rsid w:val="00D459A2"/>
    <w:rsid w:val="00D530FF"/>
    <w:rsid w:val="00D53688"/>
    <w:rsid w:val="00D5407A"/>
    <w:rsid w:val="00D568E7"/>
    <w:rsid w:val="00D57772"/>
    <w:rsid w:val="00D72AE3"/>
    <w:rsid w:val="00D75A4D"/>
    <w:rsid w:val="00D8478B"/>
    <w:rsid w:val="00D86151"/>
    <w:rsid w:val="00D869C1"/>
    <w:rsid w:val="00D908EE"/>
    <w:rsid w:val="00D9172D"/>
    <w:rsid w:val="00D924AD"/>
    <w:rsid w:val="00DA7595"/>
    <w:rsid w:val="00DB0A68"/>
    <w:rsid w:val="00DB2C53"/>
    <w:rsid w:val="00DB3F76"/>
    <w:rsid w:val="00DB50BB"/>
    <w:rsid w:val="00DC43A3"/>
    <w:rsid w:val="00DC4CF3"/>
    <w:rsid w:val="00DC5C01"/>
    <w:rsid w:val="00DD4E81"/>
    <w:rsid w:val="00DD7C09"/>
    <w:rsid w:val="00DF30CB"/>
    <w:rsid w:val="00DF43DE"/>
    <w:rsid w:val="00E0124F"/>
    <w:rsid w:val="00E01699"/>
    <w:rsid w:val="00E022AB"/>
    <w:rsid w:val="00E23F74"/>
    <w:rsid w:val="00E2791F"/>
    <w:rsid w:val="00E34000"/>
    <w:rsid w:val="00E674D3"/>
    <w:rsid w:val="00E70FD0"/>
    <w:rsid w:val="00E75714"/>
    <w:rsid w:val="00E77C4B"/>
    <w:rsid w:val="00E9301F"/>
    <w:rsid w:val="00E9690A"/>
    <w:rsid w:val="00E97DC7"/>
    <w:rsid w:val="00EA383B"/>
    <w:rsid w:val="00EB557F"/>
    <w:rsid w:val="00EC76F8"/>
    <w:rsid w:val="00ED52F0"/>
    <w:rsid w:val="00F000EF"/>
    <w:rsid w:val="00F04E6C"/>
    <w:rsid w:val="00F06E42"/>
    <w:rsid w:val="00F2504E"/>
    <w:rsid w:val="00F2585B"/>
    <w:rsid w:val="00F369B2"/>
    <w:rsid w:val="00F36D13"/>
    <w:rsid w:val="00F4053F"/>
    <w:rsid w:val="00F516E7"/>
    <w:rsid w:val="00F5290C"/>
    <w:rsid w:val="00F57BF7"/>
    <w:rsid w:val="00F62391"/>
    <w:rsid w:val="00F6263E"/>
    <w:rsid w:val="00F627C2"/>
    <w:rsid w:val="00F72422"/>
    <w:rsid w:val="00F75122"/>
    <w:rsid w:val="00F81032"/>
    <w:rsid w:val="00F84067"/>
    <w:rsid w:val="00FA50B4"/>
    <w:rsid w:val="00FB6C4B"/>
    <w:rsid w:val="00FC156A"/>
    <w:rsid w:val="00FD6235"/>
    <w:rsid w:val="00FE3DE5"/>
    <w:rsid w:val="00FF301C"/>
    <w:rsid w:val="00FF72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1FA44"/>
  <w15:docId w15:val="{C09322D2-E3F2-4582-B453-E2D55D1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1">
    <w:name w:val="列出段落1"/>
    <w:basedOn w:val="Normal"/>
    <w:uiPriority w:val="34"/>
    <w:qFormat/>
    <w:rsid w:val="00926067"/>
    <w:pPr>
      <w:ind w:left="720"/>
    </w:pPr>
    <w:rPr>
      <w:rFonts w:cs="Angsana New"/>
    </w:rPr>
  </w:style>
  <w:style w:type="character" w:customStyle="1" w:styleId="ListParagraphChar">
    <w:name w:val="List Paragraph Char"/>
    <w:link w:val="ListParagraph"/>
    <w:uiPriority w:val="34"/>
    <w:locked/>
    <w:rsid w:val="00F06E42"/>
    <w:rPr>
      <w:rFonts w:eastAsia="BatangChe"/>
      <w:sz w:val="24"/>
      <w:szCs w:val="24"/>
    </w:rPr>
  </w:style>
  <w:style w:type="character" w:styleId="FollowedHyperlink">
    <w:name w:val="FollowedHyperlink"/>
    <w:basedOn w:val="DefaultParagraphFont"/>
    <w:semiHidden/>
    <w:unhideWhenUsed/>
    <w:rsid w:val="00F06E42"/>
    <w:rPr>
      <w:color w:val="800080" w:themeColor="followedHyperlink"/>
      <w:u w:val="single"/>
    </w:rPr>
  </w:style>
  <w:style w:type="character" w:styleId="BookTitle">
    <w:name w:val="Book Title"/>
    <w:basedOn w:val="DefaultParagraphFont"/>
    <w:uiPriority w:val="33"/>
    <w:qFormat/>
    <w:rsid w:val="00695F6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42164">
      <w:bodyDiv w:val="1"/>
      <w:marLeft w:val="0"/>
      <w:marRight w:val="0"/>
      <w:marTop w:val="0"/>
      <w:marBottom w:val="0"/>
      <w:divBdr>
        <w:top w:val="none" w:sz="0" w:space="0" w:color="auto"/>
        <w:left w:val="none" w:sz="0" w:space="0" w:color="auto"/>
        <w:bottom w:val="none" w:sz="0" w:space="0" w:color="auto"/>
        <w:right w:val="none" w:sz="0" w:space="0" w:color="auto"/>
      </w:divBdr>
    </w:div>
    <w:div w:id="1020199059">
      <w:bodyDiv w:val="1"/>
      <w:marLeft w:val="0"/>
      <w:marRight w:val="0"/>
      <w:marTop w:val="0"/>
      <w:marBottom w:val="0"/>
      <w:divBdr>
        <w:top w:val="none" w:sz="0" w:space="0" w:color="auto"/>
        <w:left w:val="none" w:sz="0" w:space="0" w:color="auto"/>
        <w:bottom w:val="none" w:sz="0" w:space="0" w:color="auto"/>
        <w:right w:val="none" w:sz="0" w:space="0" w:color="auto"/>
      </w:divBdr>
    </w:div>
    <w:div w:id="120652936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0146660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WP1A-C-0260/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7C-C-0200/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5-WP1A-C-0260/en" TargetMode="External"/><Relationship Id="rId4" Type="http://schemas.openxmlformats.org/officeDocument/2006/relationships/settings" Target="settings.xml"/><Relationship Id="rId9" Type="http://schemas.openxmlformats.org/officeDocument/2006/relationships/hyperlink" Target="https://www.itu.int/md/R15-WP1A-C-0260/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zhukeer@mii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2B64-0509-44E8-8AE8-4E1E40AB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1823</Words>
  <Characters>10393</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14</cp:revision>
  <cp:lastPrinted>2015-02-02T07:28:00Z</cp:lastPrinted>
  <dcterms:created xsi:type="dcterms:W3CDTF">2018-03-15T08:35:00Z</dcterms:created>
  <dcterms:modified xsi:type="dcterms:W3CDTF">2018-03-20T02:09:00Z</dcterms:modified>
</cp:coreProperties>
</file>