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19" w:type="dxa"/>
        <w:tblBorders>
          <w:bottom w:val="single" w:sz="12" w:space="0" w:color="auto"/>
        </w:tblBorders>
        <w:tblLayout w:type="fixed"/>
        <w:tblCellMar>
          <w:left w:w="99" w:type="dxa"/>
          <w:right w:w="99" w:type="dxa"/>
        </w:tblCellMar>
        <w:tblLook w:val="0000" w:firstRow="0" w:lastRow="0" w:firstColumn="0" w:lastColumn="0" w:noHBand="0" w:noVBand="0"/>
      </w:tblPr>
      <w:tblGrid>
        <w:gridCol w:w="1399"/>
        <w:gridCol w:w="5720"/>
        <w:gridCol w:w="2700"/>
      </w:tblGrid>
      <w:tr w:rsidR="00CF3963" w:rsidRPr="00891D0B" w:rsidTr="007D7378">
        <w:trPr>
          <w:cantSplit/>
        </w:trPr>
        <w:tc>
          <w:tcPr>
            <w:tcW w:w="1399" w:type="dxa"/>
            <w:vMerge w:val="restart"/>
          </w:tcPr>
          <w:p w:rsidR="00CF3963" w:rsidRPr="00891D0B" w:rsidRDefault="00CF3963" w:rsidP="007D7378">
            <w:pPr>
              <w:pStyle w:val="Note"/>
              <w:widowControl w:val="0"/>
              <w:tabs>
                <w:tab w:val="clear" w:pos="284"/>
                <w:tab w:val="clear" w:pos="1134"/>
                <w:tab w:val="clear" w:pos="1871"/>
                <w:tab w:val="clear" w:pos="2268"/>
              </w:tabs>
              <w:wordWrap w:val="0"/>
              <w:spacing w:before="0"/>
              <w:rPr>
                <w:noProof w:val="0"/>
                <w:kern w:val="2"/>
                <w:sz w:val="24"/>
                <w:szCs w:val="24"/>
              </w:rPr>
            </w:pPr>
            <w:r>
              <w:rPr>
                <w:kern w:val="2"/>
                <w:sz w:val="24"/>
                <w:szCs w:val="24"/>
                <w:lang w:eastAsia="en-US"/>
              </w:rPr>
              <w:drawing>
                <wp:inline distT="0" distB="0" distL="0" distR="0" wp14:anchorId="3808B352" wp14:editId="40D430FF">
                  <wp:extent cx="762000" cy="714375"/>
                  <wp:effectExtent l="0" t="0" r="0" b="9525"/>
                  <wp:docPr id="1" name="Picture 1" descr="APTlogogreen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Tlogogreen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0" cy="714375"/>
                          </a:xfrm>
                          <a:prstGeom prst="rect">
                            <a:avLst/>
                          </a:prstGeom>
                          <a:noFill/>
                          <a:ln>
                            <a:noFill/>
                          </a:ln>
                        </pic:spPr>
                      </pic:pic>
                    </a:graphicData>
                  </a:graphic>
                </wp:inline>
              </w:drawing>
            </w:r>
          </w:p>
        </w:tc>
        <w:tc>
          <w:tcPr>
            <w:tcW w:w="5720" w:type="dxa"/>
          </w:tcPr>
          <w:p w:rsidR="00CF3963" w:rsidRPr="00891D0B" w:rsidRDefault="00CF3963" w:rsidP="007D7378">
            <w:r w:rsidRPr="00096326">
              <w:t>ASIA-PACIFIC TELECOMMUNITY</w:t>
            </w:r>
          </w:p>
        </w:tc>
        <w:tc>
          <w:tcPr>
            <w:tcW w:w="2700" w:type="dxa"/>
          </w:tcPr>
          <w:p w:rsidR="00CF3963" w:rsidRPr="00096326" w:rsidRDefault="00CF3963" w:rsidP="007D7378">
            <w:pPr>
              <w:rPr>
                <w:b/>
                <w:bCs/>
                <w:lang w:val="fr-FR"/>
              </w:rPr>
            </w:pPr>
            <w:r w:rsidRPr="00C15799">
              <w:rPr>
                <w:b/>
                <w:lang w:val="fr-FR"/>
              </w:rPr>
              <w:t>Document</w:t>
            </w:r>
            <w:r>
              <w:rPr>
                <w:b/>
                <w:lang w:val="fr-FR"/>
              </w:rPr>
              <w:t xml:space="preserve">: </w:t>
            </w:r>
          </w:p>
        </w:tc>
      </w:tr>
      <w:tr w:rsidR="00CF3963" w:rsidRPr="00C15799" w:rsidTr="007D7378">
        <w:trPr>
          <w:cantSplit/>
        </w:trPr>
        <w:tc>
          <w:tcPr>
            <w:tcW w:w="1399" w:type="dxa"/>
            <w:vMerge/>
          </w:tcPr>
          <w:p w:rsidR="00CF3963" w:rsidRPr="00891D0B" w:rsidRDefault="00CF3963" w:rsidP="007D7378"/>
        </w:tc>
        <w:tc>
          <w:tcPr>
            <w:tcW w:w="5720" w:type="dxa"/>
          </w:tcPr>
          <w:p w:rsidR="00CF3963" w:rsidRPr="00891D0B" w:rsidRDefault="00CF3963" w:rsidP="00981F06">
            <w:pPr>
              <w:spacing w:line="0" w:lineRule="atLeast"/>
            </w:pPr>
            <w:r>
              <w:rPr>
                <w:b/>
              </w:rPr>
              <w:t xml:space="preserve">The </w:t>
            </w:r>
            <w:r w:rsidR="00981F06">
              <w:rPr>
                <w:b/>
              </w:rPr>
              <w:t>3r</w:t>
            </w:r>
            <w:r>
              <w:rPr>
                <w:b/>
              </w:rPr>
              <w:t>d Meeting of the APT Conference Prepar</w:t>
            </w:r>
            <w:r w:rsidR="00981F06">
              <w:rPr>
                <w:b/>
              </w:rPr>
              <w:t>atory  Group for WRC-19 (APG19-3</w:t>
            </w:r>
            <w:r>
              <w:rPr>
                <w:b/>
              </w:rPr>
              <w:t>)</w:t>
            </w:r>
          </w:p>
        </w:tc>
        <w:tc>
          <w:tcPr>
            <w:tcW w:w="2700" w:type="dxa"/>
          </w:tcPr>
          <w:p w:rsidR="00CF3963" w:rsidRPr="00C15799" w:rsidRDefault="00CF3963" w:rsidP="00A97624">
            <w:pPr>
              <w:rPr>
                <w:b/>
                <w:bCs/>
                <w:lang w:val="fr-FR" w:eastAsia="ko-KR"/>
              </w:rPr>
            </w:pPr>
            <w:r>
              <w:rPr>
                <w:b/>
                <w:bCs/>
                <w:lang w:val="fr-FR"/>
              </w:rPr>
              <w:t>APG19-</w:t>
            </w:r>
            <w:r w:rsidR="00981F06">
              <w:rPr>
                <w:b/>
                <w:bCs/>
                <w:lang w:val="fr-FR"/>
              </w:rPr>
              <w:t>3</w:t>
            </w:r>
            <w:r>
              <w:rPr>
                <w:b/>
                <w:bCs/>
                <w:lang w:val="fr-FR"/>
              </w:rPr>
              <w:t>/</w:t>
            </w:r>
            <w:r w:rsidR="004E037E">
              <w:rPr>
                <w:rFonts w:hint="eastAsia"/>
                <w:b/>
                <w:bCs/>
                <w:lang w:val="fr-FR"/>
              </w:rPr>
              <w:t>OUT</w:t>
            </w:r>
            <w:r w:rsidR="004E037E">
              <w:rPr>
                <w:rFonts w:hint="eastAsia"/>
                <w:b/>
                <w:bCs/>
                <w:lang w:val="fr-FR" w:eastAsia="ko-KR"/>
              </w:rPr>
              <w:t>-</w:t>
            </w:r>
            <w:r w:rsidR="009B4EBD">
              <w:rPr>
                <w:b/>
                <w:bCs/>
                <w:lang w:val="fr-FR" w:eastAsia="ko-KR"/>
              </w:rPr>
              <w:t>10</w:t>
            </w:r>
          </w:p>
        </w:tc>
      </w:tr>
      <w:tr w:rsidR="00CF3963" w:rsidRPr="00891D0B" w:rsidTr="007D7378">
        <w:trPr>
          <w:cantSplit/>
          <w:trHeight w:val="219"/>
        </w:trPr>
        <w:tc>
          <w:tcPr>
            <w:tcW w:w="1399" w:type="dxa"/>
            <w:vMerge/>
          </w:tcPr>
          <w:p w:rsidR="00CF3963" w:rsidRPr="00C15799" w:rsidRDefault="00CF3963" w:rsidP="007D7378">
            <w:pPr>
              <w:rPr>
                <w:lang w:val="fr-FR"/>
              </w:rPr>
            </w:pPr>
          </w:p>
        </w:tc>
        <w:tc>
          <w:tcPr>
            <w:tcW w:w="5720" w:type="dxa"/>
          </w:tcPr>
          <w:p w:rsidR="00CF3963" w:rsidRPr="00891D0B" w:rsidRDefault="00981F06" w:rsidP="00981F06">
            <w:r>
              <w:t>12 – 16 March 2018</w:t>
            </w:r>
            <w:r w:rsidR="00CF3963" w:rsidRPr="00891D0B">
              <w:t xml:space="preserve">, </w:t>
            </w:r>
            <w:r>
              <w:t>Perth</w:t>
            </w:r>
            <w:r w:rsidR="00CF3963">
              <w:t xml:space="preserve">, </w:t>
            </w:r>
            <w:r>
              <w:t>Australia</w:t>
            </w:r>
          </w:p>
        </w:tc>
        <w:tc>
          <w:tcPr>
            <w:tcW w:w="2700" w:type="dxa"/>
          </w:tcPr>
          <w:p w:rsidR="00CF3963" w:rsidRPr="00981F06" w:rsidRDefault="00ED3E4F" w:rsidP="00A97624">
            <w:r>
              <w:t>1</w:t>
            </w:r>
            <w:r w:rsidR="008B0B24">
              <w:t>6</w:t>
            </w:r>
            <w:r w:rsidR="00A97624">
              <w:t xml:space="preserve"> </w:t>
            </w:r>
            <w:r w:rsidR="00981F06">
              <w:t xml:space="preserve">March </w:t>
            </w:r>
            <w:r w:rsidR="00CF3963" w:rsidRPr="00981F06">
              <w:t>201</w:t>
            </w:r>
            <w:r w:rsidR="00981F06">
              <w:t>8</w:t>
            </w:r>
          </w:p>
        </w:tc>
      </w:tr>
    </w:tbl>
    <w:p w:rsidR="00D13D9D" w:rsidRPr="007673CA" w:rsidRDefault="00D13D9D" w:rsidP="00DA7595">
      <w:pPr>
        <w:rPr>
          <w:lang w:val="en-NZ" w:eastAsia="ko-KR"/>
        </w:rPr>
      </w:pPr>
    </w:p>
    <w:p w:rsidR="00930E64" w:rsidRPr="007673CA" w:rsidRDefault="00930E64" w:rsidP="00930E64">
      <w:pPr>
        <w:jc w:val="center"/>
        <w:rPr>
          <w:lang w:val="en-NZ"/>
        </w:rPr>
      </w:pPr>
    </w:p>
    <w:p w:rsidR="00B64A60" w:rsidRPr="0015772D" w:rsidRDefault="004E037E" w:rsidP="005505D2">
      <w:pPr>
        <w:jc w:val="center"/>
        <w:rPr>
          <w:lang w:val="en-NZ" w:eastAsia="ko-KR"/>
        </w:rPr>
      </w:pPr>
      <w:r>
        <w:rPr>
          <w:bCs/>
          <w:lang w:val="en-NZ" w:eastAsia="ko-KR"/>
        </w:rPr>
        <w:t>Working Party 2</w:t>
      </w:r>
    </w:p>
    <w:p w:rsidR="00B64A60" w:rsidRPr="00710333" w:rsidRDefault="00B64A60" w:rsidP="00B64A60">
      <w:pPr>
        <w:jc w:val="center"/>
        <w:rPr>
          <w:b/>
          <w:bCs/>
          <w:caps/>
          <w:sz w:val="28"/>
          <w:szCs w:val="28"/>
          <w:lang w:val="en-NZ"/>
        </w:rPr>
      </w:pPr>
    </w:p>
    <w:p w:rsidR="00B64A60" w:rsidRPr="00981F06" w:rsidRDefault="00B64A60" w:rsidP="002C5167">
      <w:pPr>
        <w:jc w:val="center"/>
        <w:rPr>
          <w:b/>
          <w:bCs/>
          <w:caps/>
          <w:lang w:val="en-NZ"/>
        </w:rPr>
      </w:pPr>
      <w:r w:rsidRPr="00981F06">
        <w:rPr>
          <w:b/>
          <w:bCs/>
          <w:caps/>
          <w:lang w:val="en-NZ"/>
        </w:rPr>
        <w:t xml:space="preserve">PRELIMINARY VIEWs on WRC-19 agenda item </w:t>
      </w:r>
      <w:r w:rsidR="002C5167" w:rsidRPr="00453C05">
        <w:rPr>
          <w:rFonts w:asciiTheme="majorBidi" w:hAnsiTheme="majorBidi" w:cstheme="majorBidi"/>
          <w:b/>
          <w:bCs/>
          <w:caps/>
        </w:rPr>
        <w:t>9.1</w:t>
      </w:r>
      <w:r w:rsidR="002C5167">
        <w:rPr>
          <w:rFonts w:asciiTheme="majorBidi" w:hAnsiTheme="majorBidi" w:cstheme="majorBidi"/>
          <w:b/>
          <w:bCs/>
          <w:caps/>
        </w:rPr>
        <w:t xml:space="preserve"> (</w:t>
      </w:r>
      <w:r w:rsidR="002C5167" w:rsidRPr="00453C05">
        <w:rPr>
          <w:rFonts w:asciiTheme="majorBidi" w:hAnsiTheme="majorBidi" w:cstheme="majorBidi"/>
          <w:b/>
          <w:bCs/>
          <w:caps/>
        </w:rPr>
        <w:t>ISSUE 9.1.1</w:t>
      </w:r>
      <w:r w:rsidR="002C5167">
        <w:rPr>
          <w:rFonts w:asciiTheme="majorBidi" w:hAnsiTheme="majorBidi" w:cstheme="majorBidi"/>
          <w:b/>
          <w:bCs/>
          <w:caps/>
        </w:rPr>
        <w:t>)</w:t>
      </w:r>
    </w:p>
    <w:p w:rsidR="00B64A60" w:rsidRDefault="00B64A60" w:rsidP="00B64A60">
      <w:pPr>
        <w:rPr>
          <w:lang w:val="en-NZ"/>
        </w:rPr>
      </w:pPr>
    </w:p>
    <w:p w:rsidR="002C5167" w:rsidRDefault="00B64A60" w:rsidP="00243610">
      <w:pPr>
        <w:jc w:val="both"/>
        <w:rPr>
          <w:b/>
        </w:rPr>
      </w:pPr>
      <w:r w:rsidRPr="00710333">
        <w:rPr>
          <w:b/>
          <w:lang w:val="en-NZ"/>
        </w:rPr>
        <w:t xml:space="preserve">Agenda Item </w:t>
      </w:r>
      <w:r w:rsidR="002C5167">
        <w:rPr>
          <w:b/>
        </w:rPr>
        <w:t>9</w:t>
      </w:r>
      <w:r w:rsidR="00243610">
        <w:rPr>
          <w:b/>
        </w:rPr>
        <w:tab/>
      </w:r>
      <w:r w:rsidR="002C5167" w:rsidRPr="00696487">
        <w:rPr>
          <w:i/>
          <w:iCs/>
          <w:color w:val="000000"/>
          <w:kern w:val="24"/>
          <w:lang w:val="en-GB"/>
        </w:rPr>
        <w:t xml:space="preserve">to consider and approve the Report of the Director of the Radiocommunication Bureau, in accordance with </w:t>
      </w:r>
      <w:r w:rsidR="002C5167" w:rsidRPr="00696487">
        <w:rPr>
          <w:b/>
          <w:bCs/>
          <w:i/>
          <w:iCs/>
          <w:color w:val="000000"/>
          <w:kern w:val="24"/>
          <w:lang w:val="en-GB"/>
        </w:rPr>
        <w:t>Article 7</w:t>
      </w:r>
      <w:r w:rsidR="002C5167" w:rsidRPr="00696487">
        <w:rPr>
          <w:i/>
          <w:iCs/>
          <w:color w:val="000000"/>
          <w:kern w:val="24"/>
          <w:lang w:val="en-GB"/>
        </w:rPr>
        <w:t xml:space="preserve"> of the Convention:</w:t>
      </w:r>
      <w:r w:rsidR="002C5167">
        <w:rPr>
          <w:b/>
        </w:rPr>
        <w:t xml:space="preserve"> </w:t>
      </w:r>
    </w:p>
    <w:p w:rsidR="002C5167" w:rsidRDefault="002C5167" w:rsidP="00243610">
      <w:pPr>
        <w:spacing w:after="120"/>
        <w:jc w:val="both"/>
        <w:rPr>
          <w:i/>
          <w:iCs/>
          <w:color w:val="000000"/>
          <w:kern w:val="24"/>
          <w:lang w:val="en-GB"/>
        </w:rPr>
      </w:pPr>
      <w:r>
        <w:rPr>
          <w:b/>
        </w:rPr>
        <w:t>9.1.</w:t>
      </w:r>
      <w:r w:rsidR="00243610">
        <w:rPr>
          <w:b/>
        </w:rPr>
        <w:tab/>
      </w:r>
      <w:r w:rsidRPr="00696487">
        <w:rPr>
          <w:i/>
          <w:iCs/>
          <w:color w:val="000000"/>
          <w:kern w:val="24"/>
          <w:lang w:val="en-GB"/>
        </w:rPr>
        <w:t>on the activities of the Radiocommunication Sector since WRC-15;</w:t>
      </w:r>
    </w:p>
    <w:p w:rsidR="002C5167" w:rsidRPr="00696487" w:rsidRDefault="002C5167" w:rsidP="002C5167">
      <w:pPr>
        <w:pStyle w:val="NormalWeb"/>
        <w:overflowPunct w:val="0"/>
        <w:spacing w:before="0" w:beforeAutospacing="0" w:after="0" w:afterAutospacing="0"/>
      </w:pPr>
      <w:r w:rsidRPr="00696487">
        <w:rPr>
          <w:rFonts w:eastAsia="Calibri"/>
          <w:b/>
          <w:bCs/>
          <w:color w:val="000000"/>
          <w:kern w:val="24"/>
          <w:lang w:val="en-GB"/>
        </w:rPr>
        <w:t>Issue 9.1.1:</w:t>
      </w:r>
      <w:r w:rsidRPr="00696487">
        <w:rPr>
          <w:b/>
          <w:bCs/>
          <w:color w:val="000000"/>
          <w:kern w:val="24"/>
          <w:lang w:val="en-GB"/>
        </w:rPr>
        <w:tab/>
      </w:r>
      <w:r w:rsidRPr="006666A6">
        <w:rPr>
          <w:b/>
          <w:bCs/>
          <w:kern w:val="24"/>
          <w:lang w:val="en-GB"/>
        </w:rPr>
        <w:t>Resolution 212</w:t>
      </w:r>
      <w:r w:rsidRPr="00696487">
        <w:rPr>
          <w:b/>
          <w:bCs/>
          <w:color w:val="000000"/>
          <w:kern w:val="24"/>
          <w:lang w:val="en-GB"/>
        </w:rPr>
        <w:t xml:space="preserve"> (Rev.WRC-15)</w:t>
      </w:r>
      <w:r w:rsidRPr="00696487">
        <w:rPr>
          <w:b/>
          <w:bCs/>
          <w:color w:val="000000"/>
          <w:kern w:val="24"/>
        </w:rPr>
        <w:t xml:space="preserve"> </w:t>
      </w:r>
    </w:p>
    <w:p w:rsidR="002C5167" w:rsidRPr="00696487" w:rsidRDefault="002C5167" w:rsidP="002C5167">
      <w:pPr>
        <w:spacing w:after="240"/>
        <w:rPr>
          <w:i/>
          <w:iCs/>
          <w:color w:val="000000"/>
          <w:kern w:val="24"/>
          <w:lang w:val="en-GB"/>
        </w:rPr>
      </w:pPr>
      <w:r w:rsidRPr="00696487">
        <w:rPr>
          <w:i/>
          <w:iCs/>
          <w:color w:val="000000"/>
          <w:kern w:val="24"/>
          <w:lang w:val="en-GB"/>
        </w:rPr>
        <w:t>Implementation of International Mobile Telecommunications in the frequency bands 1</w:t>
      </w:r>
      <w:r w:rsidR="006D0351">
        <w:rPr>
          <w:i/>
          <w:iCs/>
          <w:color w:val="000000"/>
          <w:kern w:val="24"/>
          <w:lang w:val="en-GB"/>
        </w:rPr>
        <w:t> </w:t>
      </w:r>
      <w:r w:rsidRPr="00696487">
        <w:rPr>
          <w:i/>
          <w:iCs/>
          <w:color w:val="000000"/>
          <w:kern w:val="24"/>
          <w:lang w:val="en-GB"/>
        </w:rPr>
        <w:t>885-2</w:t>
      </w:r>
      <w:r w:rsidR="006D0351">
        <w:rPr>
          <w:i/>
          <w:iCs/>
          <w:color w:val="000000"/>
          <w:kern w:val="24"/>
          <w:lang w:val="en-GB"/>
        </w:rPr>
        <w:t> </w:t>
      </w:r>
      <w:r w:rsidRPr="00696487">
        <w:rPr>
          <w:i/>
          <w:iCs/>
          <w:color w:val="000000"/>
          <w:kern w:val="24"/>
          <w:lang w:val="en-GB"/>
        </w:rPr>
        <w:t>025 MHz and 2</w:t>
      </w:r>
      <w:r w:rsidR="006D0351">
        <w:rPr>
          <w:i/>
          <w:iCs/>
          <w:color w:val="000000"/>
          <w:kern w:val="24"/>
          <w:lang w:val="en-GB"/>
        </w:rPr>
        <w:t> </w:t>
      </w:r>
      <w:r w:rsidRPr="00696487">
        <w:rPr>
          <w:i/>
          <w:iCs/>
          <w:color w:val="000000"/>
          <w:kern w:val="24"/>
          <w:lang w:val="en-GB"/>
        </w:rPr>
        <w:t>110 -2</w:t>
      </w:r>
      <w:r w:rsidR="006D0351">
        <w:rPr>
          <w:i/>
          <w:iCs/>
          <w:color w:val="000000"/>
          <w:kern w:val="24"/>
          <w:lang w:val="en-GB"/>
        </w:rPr>
        <w:t> </w:t>
      </w:r>
      <w:r w:rsidRPr="00696487">
        <w:rPr>
          <w:i/>
          <w:iCs/>
          <w:color w:val="000000"/>
          <w:kern w:val="24"/>
          <w:lang w:val="en-GB"/>
        </w:rPr>
        <w:t>200 MHz</w:t>
      </w:r>
    </w:p>
    <w:p w:rsidR="00B64A60" w:rsidRPr="00714E61" w:rsidRDefault="00B64A60" w:rsidP="00714E61">
      <w:pPr>
        <w:pStyle w:val="ListParagraph"/>
        <w:numPr>
          <w:ilvl w:val="0"/>
          <w:numId w:val="30"/>
        </w:numPr>
        <w:spacing w:after="120"/>
        <w:ind w:left="720"/>
        <w:jc w:val="both"/>
        <w:rPr>
          <w:b/>
          <w:lang w:val="en-NZ" w:eastAsia="ko-KR"/>
        </w:rPr>
      </w:pPr>
      <w:r w:rsidRPr="00714E61">
        <w:rPr>
          <w:b/>
          <w:lang w:val="en-NZ" w:eastAsia="ko-KR"/>
        </w:rPr>
        <w:t>Background</w:t>
      </w:r>
    </w:p>
    <w:p w:rsidR="00CF0B89" w:rsidRPr="00E774F3" w:rsidRDefault="00CF0B89" w:rsidP="00243610">
      <w:pPr>
        <w:spacing w:before="60"/>
        <w:jc w:val="both"/>
        <w:rPr>
          <w:rFonts w:asciiTheme="majorBidi" w:hAnsiTheme="majorBidi" w:cstheme="majorBidi"/>
          <w:noProof/>
          <w:lang w:eastAsia="de-DE"/>
        </w:rPr>
      </w:pPr>
      <w:r w:rsidRPr="00696487">
        <w:rPr>
          <w:rFonts w:asciiTheme="majorBidi" w:eastAsia="Times New Roman" w:hAnsiTheme="majorBidi" w:cstheme="majorBidi"/>
          <w:noProof/>
          <w:lang w:eastAsia="ja-JP"/>
        </w:rPr>
        <w:t xml:space="preserve">Resolution </w:t>
      </w:r>
      <w:r w:rsidRPr="00696487">
        <w:rPr>
          <w:rFonts w:asciiTheme="majorBidi" w:hAnsiTheme="majorBidi" w:cstheme="majorBidi"/>
          <w:b/>
          <w:noProof/>
          <w:lang w:eastAsia="ko-KR"/>
        </w:rPr>
        <w:t>212 (Rev. WRC-15)</w:t>
      </w:r>
      <w:r w:rsidRPr="00696487">
        <w:rPr>
          <w:rFonts w:asciiTheme="majorBidi" w:eastAsia="Times New Roman" w:hAnsiTheme="majorBidi" w:cstheme="majorBidi"/>
          <w:noProof/>
          <w:lang w:eastAsia="ja-JP"/>
        </w:rPr>
        <w:t xml:space="preserve"> invite</w:t>
      </w:r>
      <w:r w:rsidRPr="00696487">
        <w:rPr>
          <w:rFonts w:asciiTheme="majorBidi" w:hAnsiTheme="majorBidi" w:cstheme="majorBidi"/>
          <w:noProof/>
          <w:lang w:eastAsia="ko-KR"/>
        </w:rPr>
        <w:t>s</w:t>
      </w:r>
      <w:r w:rsidRPr="00696487">
        <w:rPr>
          <w:rFonts w:asciiTheme="majorBidi" w:eastAsia="Times New Roman" w:hAnsiTheme="majorBidi" w:cstheme="majorBidi"/>
          <w:noProof/>
          <w:lang w:eastAsia="ja-JP"/>
        </w:rPr>
        <w:t xml:space="preserve"> the ITU-R to study </w:t>
      </w:r>
      <w:r w:rsidRPr="00696487">
        <w:rPr>
          <w:rFonts w:asciiTheme="majorBidi" w:hAnsiTheme="majorBidi" w:cstheme="majorBidi"/>
          <w:noProof/>
          <w:lang w:eastAsia="de-DE"/>
        </w:rPr>
        <w:t xml:space="preserve">possible technical and operational measures to ensure coexistence and compatibility between the terrestrial component of IMT (in the mobile service) and the satellite component of IMT (in the </w:t>
      </w:r>
      <w:r w:rsidR="004E037E">
        <w:rPr>
          <w:rFonts w:asciiTheme="majorBidi" w:hAnsiTheme="majorBidi" w:cstheme="majorBidi"/>
          <w:noProof/>
          <w:lang w:eastAsia="de-DE"/>
        </w:rPr>
        <w:t xml:space="preserve">mobile service and the </w:t>
      </w:r>
      <w:r w:rsidRPr="00696487">
        <w:rPr>
          <w:rFonts w:asciiTheme="majorBidi" w:hAnsiTheme="majorBidi" w:cstheme="majorBidi"/>
          <w:noProof/>
          <w:lang w:eastAsia="de-DE"/>
        </w:rPr>
        <w:t>mobile-satellite service) in the frequency bands 1</w:t>
      </w:r>
      <w:r>
        <w:rPr>
          <w:rFonts w:asciiTheme="majorBidi" w:hAnsiTheme="majorBidi" w:cstheme="majorBidi"/>
          <w:noProof/>
          <w:lang w:eastAsia="de-DE"/>
        </w:rPr>
        <w:t> </w:t>
      </w:r>
      <w:r w:rsidRPr="00696487">
        <w:rPr>
          <w:rFonts w:asciiTheme="majorBidi" w:hAnsiTheme="majorBidi" w:cstheme="majorBidi"/>
          <w:noProof/>
          <w:lang w:eastAsia="de-DE"/>
        </w:rPr>
        <w:t>980</w:t>
      </w:r>
      <w:r w:rsidR="00243610">
        <w:rPr>
          <w:rFonts w:asciiTheme="majorBidi" w:hAnsiTheme="majorBidi" w:cstheme="majorBidi"/>
          <w:noProof/>
          <w:lang w:eastAsia="de-DE"/>
        </w:rPr>
        <w:t>–</w:t>
      </w:r>
      <w:r w:rsidRPr="00696487">
        <w:rPr>
          <w:rFonts w:asciiTheme="majorBidi" w:hAnsiTheme="majorBidi" w:cstheme="majorBidi"/>
          <w:noProof/>
          <w:lang w:eastAsia="de-DE"/>
        </w:rPr>
        <w:t>2</w:t>
      </w:r>
      <w:r>
        <w:rPr>
          <w:rFonts w:asciiTheme="majorBidi" w:hAnsiTheme="majorBidi" w:cstheme="majorBidi"/>
          <w:noProof/>
          <w:lang w:eastAsia="de-DE"/>
        </w:rPr>
        <w:t> </w:t>
      </w:r>
      <w:r w:rsidRPr="00696487">
        <w:rPr>
          <w:rFonts w:asciiTheme="majorBidi" w:hAnsiTheme="majorBidi" w:cstheme="majorBidi"/>
          <w:noProof/>
          <w:lang w:eastAsia="de-DE"/>
        </w:rPr>
        <w:t>010</w:t>
      </w:r>
      <w:r>
        <w:rPr>
          <w:rFonts w:asciiTheme="majorBidi" w:hAnsiTheme="majorBidi" w:cstheme="majorBidi"/>
          <w:noProof/>
          <w:lang w:eastAsia="de-DE"/>
        </w:rPr>
        <w:t> </w:t>
      </w:r>
      <w:r w:rsidRPr="00696487">
        <w:rPr>
          <w:rFonts w:asciiTheme="majorBidi" w:hAnsiTheme="majorBidi" w:cstheme="majorBidi"/>
          <w:noProof/>
          <w:lang w:eastAsia="de-DE"/>
        </w:rPr>
        <w:t>MHz and 2</w:t>
      </w:r>
      <w:r>
        <w:rPr>
          <w:rFonts w:asciiTheme="majorBidi" w:hAnsiTheme="majorBidi" w:cstheme="majorBidi"/>
          <w:noProof/>
          <w:lang w:eastAsia="de-DE"/>
        </w:rPr>
        <w:t> </w:t>
      </w:r>
      <w:r w:rsidRPr="00696487">
        <w:rPr>
          <w:rFonts w:asciiTheme="majorBidi" w:hAnsiTheme="majorBidi" w:cstheme="majorBidi"/>
          <w:noProof/>
          <w:lang w:eastAsia="de-DE"/>
        </w:rPr>
        <w:t>170</w:t>
      </w:r>
      <w:r w:rsidR="00243610">
        <w:rPr>
          <w:rFonts w:asciiTheme="majorBidi" w:hAnsiTheme="majorBidi" w:cstheme="majorBidi"/>
          <w:noProof/>
          <w:lang w:eastAsia="de-DE"/>
        </w:rPr>
        <w:t>–</w:t>
      </w:r>
      <w:r w:rsidRPr="00696487">
        <w:rPr>
          <w:rFonts w:asciiTheme="majorBidi" w:hAnsiTheme="majorBidi" w:cstheme="majorBidi"/>
          <w:noProof/>
          <w:lang w:eastAsia="de-DE"/>
        </w:rPr>
        <w:t>2</w:t>
      </w:r>
      <w:r w:rsidR="00243610">
        <w:rPr>
          <w:rFonts w:asciiTheme="majorBidi" w:hAnsiTheme="majorBidi" w:cstheme="majorBidi"/>
          <w:noProof/>
          <w:lang w:eastAsia="de-DE"/>
        </w:rPr>
        <w:t> </w:t>
      </w:r>
      <w:r w:rsidRPr="00696487">
        <w:rPr>
          <w:rFonts w:asciiTheme="majorBidi" w:hAnsiTheme="majorBidi" w:cstheme="majorBidi"/>
          <w:noProof/>
          <w:lang w:eastAsia="de-DE"/>
        </w:rPr>
        <w:t>200</w:t>
      </w:r>
      <w:r>
        <w:rPr>
          <w:rFonts w:asciiTheme="majorBidi" w:hAnsiTheme="majorBidi" w:cstheme="majorBidi"/>
          <w:noProof/>
          <w:lang w:eastAsia="de-DE"/>
        </w:rPr>
        <w:t> </w:t>
      </w:r>
      <w:r w:rsidRPr="00696487">
        <w:rPr>
          <w:rFonts w:asciiTheme="majorBidi" w:hAnsiTheme="majorBidi" w:cstheme="majorBidi"/>
          <w:noProof/>
          <w:lang w:eastAsia="de-DE"/>
        </w:rPr>
        <w:t xml:space="preserve">MHz where those frequency bands are shared by the mobile service and the mobile-satellite service in different countries, in particular for the deployment of independent satellite and terrestrial components of IMT </w:t>
      </w:r>
      <w:r w:rsidRPr="00696487">
        <w:rPr>
          <w:rFonts w:asciiTheme="majorBidi" w:hAnsiTheme="majorBidi" w:cstheme="majorBidi"/>
          <w:lang w:eastAsia="ko-KR"/>
        </w:rPr>
        <w:t>and</w:t>
      </w:r>
      <w:r w:rsidRPr="00696487">
        <w:rPr>
          <w:rFonts w:asciiTheme="majorBidi" w:hAnsiTheme="majorBidi" w:cstheme="majorBidi"/>
          <w:noProof/>
          <w:lang w:eastAsia="de-DE"/>
        </w:rPr>
        <w:t xml:space="preserve"> to facilitate development of both the satellite and terrestrial components of IMT</w:t>
      </w:r>
      <w:r w:rsidRPr="00696487">
        <w:rPr>
          <w:rFonts w:asciiTheme="majorBidi" w:hAnsiTheme="majorBidi" w:cstheme="majorBidi"/>
          <w:noProof/>
          <w:lang w:eastAsia="ko-KR"/>
        </w:rPr>
        <w:t>.</w:t>
      </w:r>
    </w:p>
    <w:p w:rsidR="00FE4D5F" w:rsidRDefault="00FE4D5F" w:rsidP="00243610">
      <w:pPr>
        <w:spacing w:before="60"/>
        <w:jc w:val="both"/>
        <w:rPr>
          <w:rFonts w:asciiTheme="majorBidi" w:hAnsiTheme="majorBidi" w:cstheme="majorBidi"/>
        </w:rPr>
      </w:pPr>
    </w:p>
    <w:p w:rsidR="00CF0B89" w:rsidRDefault="00CF0B89" w:rsidP="00243610">
      <w:pPr>
        <w:spacing w:before="60"/>
        <w:jc w:val="both"/>
        <w:rPr>
          <w:rFonts w:asciiTheme="majorBidi" w:hAnsiTheme="majorBidi" w:cstheme="majorBidi"/>
        </w:rPr>
      </w:pPr>
      <w:r w:rsidRPr="00696487">
        <w:rPr>
          <w:rFonts w:asciiTheme="majorBidi" w:hAnsiTheme="majorBidi" w:cstheme="majorBidi"/>
        </w:rPr>
        <w:t>The terrestrial component of IMT has already been deployed or is being considered for deployment in the frequency bands 1</w:t>
      </w:r>
      <w:r>
        <w:rPr>
          <w:rFonts w:asciiTheme="majorBidi" w:hAnsiTheme="majorBidi" w:cstheme="majorBidi"/>
        </w:rPr>
        <w:t> </w:t>
      </w:r>
      <w:r w:rsidRPr="00696487">
        <w:rPr>
          <w:rFonts w:asciiTheme="majorBidi" w:hAnsiTheme="majorBidi" w:cstheme="majorBidi"/>
        </w:rPr>
        <w:t>885</w:t>
      </w:r>
      <w:r w:rsidR="00243610">
        <w:rPr>
          <w:rFonts w:asciiTheme="majorBidi" w:hAnsiTheme="majorBidi" w:cstheme="majorBidi"/>
        </w:rPr>
        <w:t>–</w:t>
      </w:r>
      <w:r w:rsidRPr="00696487">
        <w:rPr>
          <w:rFonts w:asciiTheme="majorBidi" w:hAnsiTheme="majorBidi" w:cstheme="majorBidi"/>
        </w:rPr>
        <w:t>1</w:t>
      </w:r>
      <w:r>
        <w:rPr>
          <w:rFonts w:asciiTheme="majorBidi" w:hAnsiTheme="majorBidi" w:cstheme="majorBidi"/>
        </w:rPr>
        <w:t> </w:t>
      </w:r>
      <w:r w:rsidRPr="00696487">
        <w:rPr>
          <w:rFonts w:asciiTheme="majorBidi" w:hAnsiTheme="majorBidi" w:cstheme="majorBidi"/>
        </w:rPr>
        <w:t>980</w:t>
      </w:r>
      <w:r>
        <w:rPr>
          <w:rFonts w:asciiTheme="majorBidi" w:hAnsiTheme="majorBidi" w:cstheme="majorBidi"/>
        </w:rPr>
        <w:t> </w:t>
      </w:r>
      <w:r w:rsidRPr="00696487">
        <w:rPr>
          <w:rFonts w:asciiTheme="majorBidi" w:hAnsiTheme="majorBidi" w:cstheme="majorBidi"/>
        </w:rPr>
        <w:t>MHz, 2</w:t>
      </w:r>
      <w:r>
        <w:rPr>
          <w:rFonts w:asciiTheme="majorBidi" w:hAnsiTheme="majorBidi" w:cstheme="majorBidi"/>
        </w:rPr>
        <w:t> </w:t>
      </w:r>
      <w:r w:rsidRPr="00696487">
        <w:rPr>
          <w:rFonts w:asciiTheme="majorBidi" w:hAnsiTheme="majorBidi" w:cstheme="majorBidi"/>
        </w:rPr>
        <w:t>010</w:t>
      </w:r>
      <w:r w:rsidR="00243610">
        <w:rPr>
          <w:rFonts w:asciiTheme="majorBidi" w:hAnsiTheme="majorBidi" w:cstheme="majorBidi"/>
        </w:rPr>
        <w:t>–</w:t>
      </w:r>
      <w:r w:rsidRPr="00696487">
        <w:rPr>
          <w:rFonts w:asciiTheme="majorBidi" w:hAnsiTheme="majorBidi" w:cstheme="majorBidi"/>
        </w:rPr>
        <w:t>2</w:t>
      </w:r>
      <w:r>
        <w:rPr>
          <w:rFonts w:asciiTheme="majorBidi" w:hAnsiTheme="majorBidi" w:cstheme="majorBidi"/>
        </w:rPr>
        <w:t> </w:t>
      </w:r>
      <w:r w:rsidRPr="00696487">
        <w:rPr>
          <w:rFonts w:asciiTheme="majorBidi" w:hAnsiTheme="majorBidi" w:cstheme="majorBidi"/>
        </w:rPr>
        <w:t>025</w:t>
      </w:r>
      <w:r w:rsidR="00243610">
        <w:rPr>
          <w:rFonts w:asciiTheme="majorBidi" w:hAnsiTheme="majorBidi" w:cstheme="majorBidi"/>
        </w:rPr>
        <w:t> </w:t>
      </w:r>
      <w:r w:rsidRPr="00696487">
        <w:rPr>
          <w:rFonts w:asciiTheme="majorBidi" w:hAnsiTheme="majorBidi" w:cstheme="majorBidi"/>
        </w:rPr>
        <w:t>MHz and 2</w:t>
      </w:r>
      <w:r>
        <w:rPr>
          <w:rFonts w:asciiTheme="majorBidi" w:hAnsiTheme="majorBidi" w:cstheme="majorBidi"/>
        </w:rPr>
        <w:t> </w:t>
      </w:r>
      <w:r w:rsidRPr="00696487">
        <w:rPr>
          <w:rFonts w:asciiTheme="majorBidi" w:hAnsiTheme="majorBidi" w:cstheme="majorBidi"/>
        </w:rPr>
        <w:t>110</w:t>
      </w:r>
      <w:r w:rsidR="00243610">
        <w:rPr>
          <w:rFonts w:asciiTheme="majorBidi" w:hAnsiTheme="majorBidi" w:cstheme="majorBidi"/>
        </w:rPr>
        <w:t>–</w:t>
      </w:r>
      <w:r w:rsidRPr="00696487">
        <w:rPr>
          <w:rFonts w:asciiTheme="majorBidi" w:hAnsiTheme="majorBidi" w:cstheme="majorBidi"/>
        </w:rPr>
        <w:t>2</w:t>
      </w:r>
      <w:r>
        <w:rPr>
          <w:rFonts w:asciiTheme="majorBidi" w:hAnsiTheme="majorBidi" w:cstheme="majorBidi"/>
        </w:rPr>
        <w:t> </w:t>
      </w:r>
      <w:r w:rsidRPr="00696487">
        <w:rPr>
          <w:rFonts w:asciiTheme="majorBidi" w:hAnsiTheme="majorBidi" w:cstheme="majorBidi"/>
        </w:rPr>
        <w:t>170</w:t>
      </w:r>
      <w:r>
        <w:rPr>
          <w:rFonts w:asciiTheme="majorBidi" w:hAnsiTheme="majorBidi" w:cstheme="majorBidi"/>
        </w:rPr>
        <w:t> </w:t>
      </w:r>
      <w:proofErr w:type="spellStart"/>
      <w:r w:rsidRPr="00696487">
        <w:rPr>
          <w:rFonts w:asciiTheme="majorBidi" w:hAnsiTheme="majorBidi" w:cstheme="majorBidi"/>
        </w:rPr>
        <w:t>MHz.</w:t>
      </w:r>
      <w:proofErr w:type="spellEnd"/>
      <w:r w:rsidRPr="00696487">
        <w:rPr>
          <w:rFonts w:asciiTheme="majorBidi" w:hAnsiTheme="majorBidi" w:cstheme="majorBidi"/>
        </w:rPr>
        <w:t xml:space="preserve"> Both the </w:t>
      </w:r>
      <w:r w:rsidRPr="00696487">
        <w:rPr>
          <w:rFonts w:asciiTheme="majorBidi" w:hAnsiTheme="majorBidi" w:cstheme="majorBidi"/>
          <w:lang w:eastAsia="ko-KR"/>
        </w:rPr>
        <w:t>terrestrial</w:t>
      </w:r>
      <w:r w:rsidRPr="00696487">
        <w:rPr>
          <w:rFonts w:asciiTheme="majorBidi" w:hAnsiTheme="majorBidi" w:cstheme="majorBidi"/>
        </w:rPr>
        <w:t xml:space="preserve"> and satellite components of IMT have already been deployed or are being considered for deployment in the frequency bands 1</w:t>
      </w:r>
      <w:r>
        <w:rPr>
          <w:rFonts w:asciiTheme="majorBidi" w:hAnsiTheme="majorBidi" w:cstheme="majorBidi"/>
        </w:rPr>
        <w:t> </w:t>
      </w:r>
      <w:r w:rsidRPr="00696487">
        <w:rPr>
          <w:rFonts w:asciiTheme="majorBidi" w:hAnsiTheme="majorBidi" w:cstheme="majorBidi"/>
        </w:rPr>
        <w:t>980</w:t>
      </w:r>
      <w:r w:rsidR="00243610">
        <w:rPr>
          <w:rFonts w:asciiTheme="majorBidi" w:hAnsiTheme="majorBidi" w:cstheme="majorBidi"/>
        </w:rPr>
        <w:t>–</w:t>
      </w:r>
      <w:r w:rsidRPr="00696487">
        <w:rPr>
          <w:rFonts w:asciiTheme="majorBidi" w:hAnsiTheme="majorBidi" w:cstheme="majorBidi"/>
        </w:rPr>
        <w:t>2</w:t>
      </w:r>
      <w:r>
        <w:rPr>
          <w:rFonts w:asciiTheme="majorBidi" w:hAnsiTheme="majorBidi" w:cstheme="majorBidi"/>
        </w:rPr>
        <w:t> </w:t>
      </w:r>
      <w:r w:rsidRPr="00696487">
        <w:rPr>
          <w:rFonts w:asciiTheme="majorBidi" w:hAnsiTheme="majorBidi" w:cstheme="majorBidi"/>
        </w:rPr>
        <w:t>010</w:t>
      </w:r>
      <w:r>
        <w:rPr>
          <w:rFonts w:asciiTheme="majorBidi" w:hAnsiTheme="majorBidi" w:cstheme="majorBidi"/>
        </w:rPr>
        <w:t> </w:t>
      </w:r>
      <w:r w:rsidRPr="00696487">
        <w:rPr>
          <w:rFonts w:asciiTheme="majorBidi" w:hAnsiTheme="majorBidi" w:cstheme="majorBidi"/>
        </w:rPr>
        <w:t>MHz and 2</w:t>
      </w:r>
      <w:r>
        <w:rPr>
          <w:rFonts w:asciiTheme="majorBidi" w:hAnsiTheme="majorBidi" w:cstheme="majorBidi"/>
        </w:rPr>
        <w:t> </w:t>
      </w:r>
      <w:r w:rsidRPr="00696487">
        <w:rPr>
          <w:rFonts w:asciiTheme="majorBidi" w:hAnsiTheme="majorBidi" w:cstheme="majorBidi"/>
        </w:rPr>
        <w:t>170</w:t>
      </w:r>
      <w:r w:rsidR="00243610">
        <w:rPr>
          <w:rFonts w:asciiTheme="majorBidi" w:hAnsiTheme="majorBidi" w:cstheme="majorBidi"/>
        </w:rPr>
        <w:t>–</w:t>
      </w:r>
      <w:r w:rsidRPr="00696487">
        <w:rPr>
          <w:rFonts w:asciiTheme="majorBidi" w:hAnsiTheme="majorBidi" w:cstheme="majorBidi"/>
        </w:rPr>
        <w:t>2</w:t>
      </w:r>
      <w:r>
        <w:rPr>
          <w:rFonts w:asciiTheme="majorBidi" w:hAnsiTheme="majorBidi" w:cstheme="majorBidi"/>
        </w:rPr>
        <w:t> </w:t>
      </w:r>
      <w:r w:rsidRPr="00696487">
        <w:rPr>
          <w:rFonts w:asciiTheme="majorBidi" w:hAnsiTheme="majorBidi" w:cstheme="majorBidi"/>
        </w:rPr>
        <w:t>200</w:t>
      </w:r>
      <w:r>
        <w:rPr>
          <w:rFonts w:asciiTheme="majorBidi" w:hAnsiTheme="majorBidi" w:cstheme="majorBidi"/>
        </w:rPr>
        <w:t> </w:t>
      </w:r>
      <w:proofErr w:type="spellStart"/>
      <w:r w:rsidRPr="00696487">
        <w:rPr>
          <w:rFonts w:asciiTheme="majorBidi" w:hAnsiTheme="majorBidi" w:cstheme="majorBidi"/>
        </w:rPr>
        <w:t>MHz.</w:t>
      </w:r>
      <w:proofErr w:type="spellEnd"/>
    </w:p>
    <w:p w:rsidR="00FE4D5F" w:rsidRDefault="00FE4D5F" w:rsidP="00CF0B89">
      <w:pPr>
        <w:spacing w:before="60"/>
        <w:jc w:val="both"/>
        <w:rPr>
          <w:rFonts w:asciiTheme="majorBidi" w:hAnsiTheme="majorBidi" w:cstheme="majorBidi"/>
          <w:noProof/>
          <w:lang w:eastAsia="de-DE"/>
        </w:rPr>
      </w:pPr>
    </w:p>
    <w:p w:rsidR="00CF0B89" w:rsidRDefault="00CF0B89" w:rsidP="00CF0B89">
      <w:pPr>
        <w:spacing w:before="60"/>
        <w:jc w:val="both"/>
        <w:rPr>
          <w:rFonts w:asciiTheme="majorBidi" w:hAnsiTheme="majorBidi" w:cstheme="majorBidi"/>
          <w:noProof/>
          <w:lang w:eastAsia="de-DE"/>
        </w:rPr>
      </w:pPr>
      <w:r w:rsidRPr="00696487">
        <w:rPr>
          <w:rFonts w:asciiTheme="majorBidi" w:hAnsiTheme="majorBidi" w:cstheme="majorBidi"/>
          <w:noProof/>
          <w:lang w:eastAsia="de-DE"/>
        </w:rPr>
        <w:t xml:space="preserve">It was noted that co-frequency deployment of independent satellite and terrestrial IMT components in the same geographical area is not feasible unless technique, such as the use of an appropriate guardband or other mitigation techniques are applied to ensure coexistence and </w:t>
      </w:r>
      <w:r w:rsidRPr="00696487">
        <w:rPr>
          <w:rFonts w:asciiTheme="majorBidi" w:hAnsiTheme="majorBidi" w:cstheme="majorBidi"/>
          <w:lang w:eastAsia="ko-KR"/>
        </w:rPr>
        <w:t>compatibility</w:t>
      </w:r>
      <w:r w:rsidRPr="00696487">
        <w:rPr>
          <w:rFonts w:asciiTheme="majorBidi" w:hAnsiTheme="majorBidi" w:cstheme="majorBidi"/>
          <w:noProof/>
          <w:lang w:eastAsia="de-DE"/>
        </w:rPr>
        <w:t xml:space="preserve"> between the terrestrial and satellite components of IMT.</w:t>
      </w:r>
    </w:p>
    <w:p w:rsidR="00CF0B89" w:rsidRDefault="00CF0B89" w:rsidP="00CF0B89">
      <w:pPr>
        <w:spacing w:before="60"/>
        <w:jc w:val="both"/>
        <w:rPr>
          <w:rFonts w:asciiTheme="majorBidi" w:hAnsiTheme="majorBidi" w:cstheme="majorBidi"/>
          <w:noProof/>
          <w:lang w:eastAsia="ko-KR"/>
        </w:rPr>
      </w:pPr>
      <w:r w:rsidRPr="00696487">
        <w:rPr>
          <w:rFonts w:asciiTheme="majorBidi" w:hAnsiTheme="majorBidi" w:cstheme="majorBidi"/>
        </w:rPr>
        <w:t xml:space="preserve">It was also noted that satellite and terrestrial IMT components deployed in adjacent geographical areas </w:t>
      </w:r>
      <w:r w:rsidRPr="00696487">
        <w:rPr>
          <w:rFonts w:asciiTheme="majorBidi" w:hAnsiTheme="majorBidi" w:cstheme="majorBidi"/>
          <w:lang w:eastAsia="ko-KR"/>
        </w:rPr>
        <w:t>might</w:t>
      </w:r>
      <w:r w:rsidRPr="00696487">
        <w:rPr>
          <w:rFonts w:asciiTheme="majorBidi" w:hAnsiTheme="majorBidi" w:cstheme="majorBidi"/>
        </w:rPr>
        <w:t xml:space="preserve"> require technical and operational measures to avoid harmful interference between them.</w:t>
      </w:r>
    </w:p>
    <w:p w:rsidR="00FE4D5F" w:rsidRDefault="00FE4D5F" w:rsidP="0013342F">
      <w:pPr>
        <w:spacing w:before="60"/>
        <w:jc w:val="both"/>
        <w:rPr>
          <w:rFonts w:asciiTheme="majorBidi" w:hAnsiTheme="majorBidi" w:cstheme="majorBidi"/>
          <w:lang w:eastAsia="ja-JP"/>
        </w:rPr>
      </w:pPr>
    </w:p>
    <w:p w:rsidR="00CF0B89" w:rsidRPr="008156EF" w:rsidRDefault="00CF0B89" w:rsidP="0013342F">
      <w:pPr>
        <w:spacing w:before="60"/>
        <w:jc w:val="both"/>
        <w:rPr>
          <w:rFonts w:asciiTheme="majorBidi" w:hAnsiTheme="majorBidi" w:cstheme="majorBidi"/>
          <w:lang w:eastAsia="ko-KR"/>
        </w:rPr>
      </w:pPr>
      <w:r w:rsidRPr="00696487">
        <w:rPr>
          <w:rFonts w:asciiTheme="majorBidi" w:hAnsiTheme="majorBidi" w:cstheme="majorBidi"/>
          <w:lang w:eastAsia="ja-JP"/>
        </w:rPr>
        <w:t xml:space="preserve">Within ITU-R, </w:t>
      </w:r>
      <w:r w:rsidRPr="00FE4D5F">
        <w:rPr>
          <w:rFonts w:asciiTheme="majorBidi" w:hAnsiTheme="majorBidi" w:cstheme="majorBidi"/>
          <w:bCs/>
          <w:lang w:eastAsia="ja-JP"/>
        </w:rPr>
        <w:t>WP 4C</w:t>
      </w:r>
      <w:r w:rsidRPr="008156EF">
        <w:rPr>
          <w:rFonts w:asciiTheme="majorBidi" w:hAnsiTheme="majorBidi" w:cstheme="majorBidi"/>
          <w:noProof/>
          <w:lang w:eastAsia="ko-KR"/>
        </w:rPr>
        <w:t xml:space="preserve"> and </w:t>
      </w:r>
      <w:r w:rsidRPr="00FE4D5F">
        <w:rPr>
          <w:rFonts w:asciiTheme="majorBidi" w:hAnsiTheme="majorBidi" w:cstheme="majorBidi"/>
          <w:bCs/>
          <w:noProof/>
          <w:lang w:eastAsia="ko-KR"/>
        </w:rPr>
        <w:t>WP 5D</w:t>
      </w:r>
      <w:r w:rsidRPr="008156EF">
        <w:rPr>
          <w:rFonts w:asciiTheme="majorBidi" w:hAnsiTheme="majorBidi" w:cstheme="majorBidi"/>
          <w:noProof/>
          <w:lang w:eastAsia="ko-KR"/>
        </w:rPr>
        <w:t xml:space="preserve"> </w:t>
      </w:r>
      <w:r w:rsidR="00DE2A30" w:rsidRPr="008156EF">
        <w:rPr>
          <w:rFonts w:asciiTheme="majorBidi" w:hAnsiTheme="majorBidi" w:cstheme="majorBidi"/>
          <w:noProof/>
          <w:lang w:eastAsia="ko-KR"/>
        </w:rPr>
        <w:t xml:space="preserve">which </w:t>
      </w:r>
      <w:r w:rsidRPr="008156EF">
        <w:rPr>
          <w:rFonts w:asciiTheme="majorBidi" w:hAnsiTheme="majorBidi" w:cstheme="majorBidi"/>
          <w:noProof/>
          <w:lang w:eastAsia="ko-KR"/>
        </w:rPr>
        <w:t>are responsible for the studies</w:t>
      </w:r>
      <w:r w:rsidR="00AC3F32" w:rsidRPr="008156EF">
        <w:rPr>
          <w:rFonts w:asciiTheme="majorBidi" w:hAnsiTheme="majorBidi" w:cstheme="majorBidi"/>
          <w:noProof/>
          <w:lang w:eastAsia="ko-KR"/>
        </w:rPr>
        <w:t>,</w:t>
      </w:r>
      <w:r w:rsidRPr="008156EF">
        <w:rPr>
          <w:rFonts w:asciiTheme="majorBidi" w:hAnsiTheme="majorBidi" w:cstheme="majorBidi"/>
          <w:lang w:eastAsia="ko-KR"/>
        </w:rPr>
        <w:t xml:space="preserve"> have jointly developed the w</w:t>
      </w:r>
      <w:r w:rsidRPr="00C36B95">
        <w:rPr>
          <w:rFonts w:asciiTheme="majorBidi" w:hAnsiTheme="majorBidi" w:cstheme="majorBidi"/>
        </w:rPr>
        <w:t xml:space="preserve">orking document towards a preliminary draft new </w:t>
      </w:r>
      <w:r w:rsidRPr="00C36B95">
        <w:rPr>
          <w:rFonts w:asciiTheme="majorBidi" w:hAnsiTheme="majorBidi" w:cstheme="majorBidi"/>
          <w:lang w:eastAsia="ko-KR"/>
        </w:rPr>
        <w:t>[Recommendation/</w:t>
      </w:r>
      <w:r w:rsidRPr="00C36B95">
        <w:rPr>
          <w:rFonts w:asciiTheme="majorBidi" w:hAnsiTheme="majorBidi" w:cstheme="majorBidi"/>
        </w:rPr>
        <w:t>Report</w:t>
      </w:r>
      <w:r w:rsidRPr="00C36B95">
        <w:rPr>
          <w:rFonts w:asciiTheme="majorBidi" w:hAnsiTheme="majorBidi" w:cstheme="majorBidi"/>
          <w:lang w:eastAsia="ko-KR"/>
        </w:rPr>
        <w:t>]</w:t>
      </w:r>
      <w:r w:rsidRPr="00C36B95">
        <w:rPr>
          <w:rFonts w:asciiTheme="majorBidi" w:hAnsiTheme="majorBidi" w:cstheme="majorBidi"/>
        </w:rPr>
        <w:t xml:space="preserve"> ITU-R M</w:t>
      </w:r>
      <w:proofErr w:type="gramStart"/>
      <w:r w:rsidRPr="00C36B95">
        <w:rPr>
          <w:rFonts w:asciiTheme="majorBidi" w:hAnsiTheme="majorBidi" w:cstheme="majorBidi"/>
        </w:rPr>
        <w:t>.[</w:t>
      </w:r>
      <w:proofErr w:type="gramEnd"/>
      <w:r w:rsidRPr="00C36B95">
        <w:rPr>
          <w:rFonts w:asciiTheme="majorBidi" w:hAnsiTheme="majorBidi" w:cstheme="majorBidi"/>
          <w:lang w:eastAsia="ko-KR"/>
        </w:rPr>
        <w:t>MSS</w:t>
      </w:r>
      <w:r w:rsidR="008156EF" w:rsidRPr="004E037E">
        <w:rPr>
          <w:rFonts w:asciiTheme="majorBidi" w:hAnsiTheme="majorBidi" w:cstheme="majorBidi"/>
          <w:lang w:eastAsia="ko-KR"/>
        </w:rPr>
        <w:t>&amp;</w:t>
      </w:r>
      <w:r w:rsidRPr="004E037E">
        <w:rPr>
          <w:rFonts w:asciiTheme="majorBidi" w:hAnsiTheme="majorBidi" w:cstheme="majorBidi"/>
          <w:lang w:eastAsia="ko-KR"/>
        </w:rPr>
        <w:t>IMT-ADVANCED SHARING]</w:t>
      </w:r>
      <w:r w:rsidR="008A7B32" w:rsidRPr="004E037E">
        <w:rPr>
          <w:rFonts w:asciiTheme="majorBidi" w:hAnsiTheme="majorBidi" w:cstheme="majorBidi"/>
          <w:lang w:eastAsia="ko-KR"/>
        </w:rPr>
        <w:t>.</w:t>
      </w:r>
      <w:r w:rsidR="00375935" w:rsidRPr="004E037E">
        <w:rPr>
          <w:rFonts w:asciiTheme="majorBidi" w:hAnsiTheme="majorBidi" w:cstheme="majorBidi"/>
          <w:lang w:eastAsia="ko-KR"/>
        </w:rPr>
        <w:t xml:space="preserve"> </w:t>
      </w:r>
      <w:r w:rsidR="008A7B32" w:rsidRPr="004E037E">
        <w:rPr>
          <w:rFonts w:asciiTheme="majorBidi" w:hAnsiTheme="majorBidi" w:cstheme="majorBidi"/>
          <w:lang w:eastAsia="ko-KR"/>
        </w:rPr>
        <w:t xml:space="preserve">This </w:t>
      </w:r>
      <w:r w:rsidR="00C36B95" w:rsidRPr="004E037E">
        <w:rPr>
          <w:rFonts w:asciiTheme="majorBidi" w:hAnsiTheme="majorBidi" w:cstheme="majorBidi"/>
          <w:lang w:eastAsia="ko-KR"/>
        </w:rPr>
        <w:t xml:space="preserve">working document </w:t>
      </w:r>
      <w:r w:rsidR="008A7B32" w:rsidRPr="004E037E">
        <w:rPr>
          <w:lang w:eastAsia="ja-JP"/>
        </w:rPr>
        <w:t>provides the</w:t>
      </w:r>
      <w:r w:rsidR="008A7B32" w:rsidRPr="00C36B95">
        <w:rPr>
          <w:lang w:eastAsia="ja-JP"/>
        </w:rPr>
        <w:t xml:space="preserve"> ITU-R studies</w:t>
      </w:r>
      <w:r w:rsidR="00375935" w:rsidRPr="00C36B95">
        <w:rPr>
          <w:lang w:eastAsia="ja-JP"/>
        </w:rPr>
        <w:t xml:space="preserve"> conducted in the frequency bands 1</w:t>
      </w:r>
      <w:r w:rsidR="0013342F" w:rsidRPr="00C36B95">
        <w:rPr>
          <w:lang w:eastAsia="ja-JP"/>
        </w:rPr>
        <w:t> </w:t>
      </w:r>
      <w:r w:rsidR="00375935" w:rsidRPr="00C36B95">
        <w:rPr>
          <w:lang w:eastAsia="ja-JP"/>
        </w:rPr>
        <w:t>980-2</w:t>
      </w:r>
      <w:r w:rsidR="0013342F" w:rsidRPr="00C36B95">
        <w:rPr>
          <w:lang w:eastAsia="ja-JP"/>
        </w:rPr>
        <w:t> </w:t>
      </w:r>
      <w:r w:rsidR="00375935" w:rsidRPr="00C36B95">
        <w:rPr>
          <w:lang w:eastAsia="ja-JP"/>
        </w:rPr>
        <w:t>010</w:t>
      </w:r>
      <w:r w:rsidR="0013342F" w:rsidRPr="00C36B95">
        <w:rPr>
          <w:lang w:eastAsia="ja-JP"/>
        </w:rPr>
        <w:t> </w:t>
      </w:r>
      <w:r w:rsidR="00375935" w:rsidRPr="00C36B95">
        <w:rPr>
          <w:lang w:eastAsia="ja-JP"/>
        </w:rPr>
        <w:t>MHz and 2</w:t>
      </w:r>
      <w:r w:rsidR="00484C63" w:rsidRPr="00C36B95">
        <w:rPr>
          <w:lang w:eastAsia="ja-JP"/>
        </w:rPr>
        <w:t> </w:t>
      </w:r>
      <w:r w:rsidR="00375935" w:rsidRPr="00C36B95">
        <w:rPr>
          <w:lang w:eastAsia="ja-JP"/>
        </w:rPr>
        <w:t>170–2</w:t>
      </w:r>
      <w:r w:rsidR="00484C63" w:rsidRPr="00C36B95">
        <w:rPr>
          <w:lang w:eastAsia="ja-JP"/>
        </w:rPr>
        <w:t> </w:t>
      </w:r>
      <w:r w:rsidR="00375935" w:rsidRPr="00C36B95">
        <w:rPr>
          <w:lang w:eastAsia="ja-JP"/>
        </w:rPr>
        <w:t>200</w:t>
      </w:r>
      <w:r w:rsidR="0013342F" w:rsidRPr="00C36B95">
        <w:rPr>
          <w:lang w:eastAsia="ja-JP"/>
        </w:rPr>
        <w:t> </w:t>
      </w:r>
      <w:r w:rsidR="00375935" w:rsidRPr="00C36B95">
        <w:rPr>
          <w:lang w:eastAsia="ja-JP"/>
        </w:rPr>
        <w:t>MHz for the co-existence and the compatibility between the satellite component of IMT and terrestrial component of IMT in adjacent geographical areas across different countries</w:t>
      </w:r>
      <w:r w:rsidRPr="00C36B95">
        <w:rPr>
          <w:rFonts w:asciiTheme="majorBidi" w:hAnsiTheme="majorBidi" w:cstheme="majorBidi"/>
          <w:lang w:eastAsia="ko-KR"/>
        </w:rPr>
        <w:t>.</w:t>
      </w:r>
      <w:r w:rsidR="004755A1" w:rsidRPr="00C36B95">
        <w:rPr>
          <w:rFonts w:asciiTheme="majorBidi" w:hAnsiTheme="majorBidi" w:cstheme="majorBidi"/>
          <w:lang w:eastAsia="ko-KR"/>
        </w:rPr>
        <w:t xml:space="preserve"> </w:t>
      </w:r>
      <w:r w:rsidR="004755A1" w:rsidRPr="00C36B95">
        <w:rPr>
          <w:rFonts w:eastAsia="Times New Roman"/>
          <w:lang w:val="en-GB" w:bidi="en-US"/>
        </w:rPr>
        <w:t>However, much of the substantive text is not agreed and in square b</w:t>
      </w:r>
      <w:r w:rsidR="004755A1" w:rsidRPr="008156EF">
        <w:rPr>
          <w:rFonts w:eastAsia="Times New Roman"/>
          <w:lang w:val="en-GB" w:bidi="en-US"/>
        </w:rPr>
        <w:t>rackets with no decisions arrived at to the status of the document being either a Recommendation or Report, nor has the document progressed from working document status.</w:t>
      </w:r>
    </w:p>
    <w:p w:rsidR="009062B2" w:rsidRDefault="009062B2" w:rsidP="00FB7216">
      <w:pPr>
        <w:spacing w:before="60"/>
        <w:jc w:val="both"/>
        <w:rPr>
          <w:rFonts w:asciiTheme="majorBidi" w:hAnsiTheme="majorBidi" w:cstheme="majorBidi"/>
          <w:lang w:eastAsia="ko-KR"/>
        </w:rPr>
      </w:pPr>
      <w:r w:rsidRPr="008156EF">
        <w:rPr>
          <w:rFonts w:eastAsia="SimSun"/>
          <w:lang w:eastAsia="zh-CN"/>
        </w:rPr>
        <w:lastRenderedPageBreak/>
        <w:t xml:space="preserve">Before APG19-3 event, </w:t>
      </w:r>
      <w:r w:rsidR="00FB7216" w:rsidRPr="00FE4D5F">
        <w:rPr>
          <w:rFonts w:eastAsia="SimSun"/>
          <w:bCs/>
          <w:lang w:eastAsia="zh-CN"/>
        </w:rPr>
        <w:t>WP</w:t>
      </w:r>
      <w:r w:rsidR="00FB7216" w:rsidRPr="008156EF">
        <w:rPr>
          <w:rFonts w:eastAsia="SimSun"/>
          <w:lang w:eastAsia="zh-CN"/>
        </w:rPr>
        <w:t> </w:t>
      </w:r>
      <w:r w:rsidRPr="00FE4D5F">
        <w:rPr>
          <w:rFonts w:eastAsia="SimSun"/>
          <w:bCs/>
          <w:lang w:eastAsia="zh-CN"/>
        </w:rPr>
        <w:t>5D</w:t>
      </w:r>
      <w:r w:rsidRPr="008156EF">
        <w:rPr>
          <w:rFonts w:eastAsia="SimSun"/>
          <w:lang w:eastAsia="zh-CN"/>
        </w:rPr>
        <w:t xml:space="preserve"> was held 29</w:t>
      </w:r>
      <w:r w:rsidRPr="008156EF">
        <w:rPr>
          <w:rFonts w:eastAsia="SimSun"/>
          <w:vertAlign w:val="superscript"/>
          <w:lang w:eastAsia="zh-CN"/>
        </w:rPr>
        <w:t>th</w:t>
      </w:r>
      <w:r w:rsidRPr="008156EF">
        <w:rPr>
          <w:rFonts w:eastAsia="SimSun"/>
          <w:lang w:eastAsia="zh-CN"/>
        </w:rPr>
        <w:t xml:space="preserve"> meeting during </w:t>
      </w:r>
      <w:r w:rsidRPr="008156EF">
        <w:rPr>
          <w:rFonts w:eastAsia="SimSun" w:hint="eastAsia"/>
          <w:lang w:eastAsia="zh-CN"/>
        </w:rPr>
        <w:t xml:space="preserve">31 January - 7 </w:t>
      </w:r>
      <w:r w:rsidRPr="008156EF">
        <w:rPr>
          <w:rFonts w:eastAsia="SimSun"/>
          <w:lang w:eastAsia="zh-CN"/>
        </w:rPr>
        <w:t>February 2018, Seoul, Korea</w:t>
      </w:r>
      <w:r w:rsidRPr="00C36B95">
        <w:rPr>
          <w:rFonts w:eastAsia="SimSun"/>
          <w:lang w:eastAsia="zh-CN"/>
        </w:rPr>
        <w:t xml:space="preserve">. Similarly one week after </w:t>
      </w:r>
      <w:r w:rsidRPr="00FE4D5F">
        <w:rPr>
          <w:rFonts w:eastAsia="SimSun"/>
          <w:bCs/>
          <w:lang w:eastAsia="zh-CN"/>
        </w:rPr>
        <w:t>WP</w:t>
      </w:r>
      <w:r w:rsidR="0013342F" w:rsidRPr="00FE4D5F">
        <w:rPr>
          <w:rFonts w:eastAsia="SimSun"/>
          <w:bCs/>
          <w:lang w:eastAsia="zh-CN"/>
        </w:rPr>
        <w:t> </w:t>
      </w:r>
      <w:r w:rsidRPr="00FE4D5F">
        <w:rPr>
          <w:rFonts w:eastAsia="SimSun"/>
          <w:bCs/>
          <w:lang w:eastAsia="zh-CN"/>
        </w:rPr>
        <w:t>5D</w:t>
      </w:r>
      <w:r w:rsidRPr="008156EF">
        <w:rPr>
          <w:rFonts w:eastAsia="SimSun"/>
          <w:lang w:eastAsia="zh-CN"/>
        </w:rPr>
        <w:t xml:space="preserve"> meeting, </w:t>
      </w:r>
      <w:r w:rsidR="0013342F" w:rsidRPr="00FE4D5F">
        <w:rPr>
          <w:rFonts w:eastAsia="SimSun"/>
          <w:bCs/>
          <w:lang w:eastAsia="zh-CN"/>
        </w:rPr>
        <w:t>WP</w:t>
      </w:r>
      <w:r w:rsidR="0013342F" w:rsidRPr="008156EF">
        <w:rPr>
          <w:rFonts w:eastAsia="SimSun"/>
          <w:lang w:eastAsia="zh-CN"/>
        </w:rPr>
        <w:t> </w:t>
      </w:r>
      <w:r w:rsidRPr="00FE4D5F">
        <w:rPr>
          <w:rFonts w:eastAsia="SimSun"/>
          <w:bCs/>
          <w:lang w:eastAsia="zh-CN"/>
        </w:rPr>
        <w:t>4C</w:t>
      </w:r>
      <w:r>
        <w:rPr>
          <w:rFonts w:eastAsia="SimSun"/>
          <w:lang w:eastAsia="zh-CN"/>
        </w:rPr>
        <w:t xml:space="preserve"> was held 20</w:t>
      </w:r>
      <w:r w:rsidRPr="00450AE7">
        <w:rPr>
          <w:rFonts w:eastAsia="SimSun"/>
          <w:vertAlign w:val="superscript"/>
          <w:lang w:eastAsia="zh-CN"/>
        </w:rPr>
        <w:t>th</w:t>
      </w:r>
      <w:r>
        <w:rPr>
          <w:rFonts w:eastAsia="SimSun"/>
          <w:lang w:eastAsia="zh-CN"/>
        </w:rPr>
        <w:t xml:space="preserve"> </w:t>
      </w:r>
      <w:r w:rsidRPr="000D499C">
        <w:rPr>
          <w:lang w:eastAsia="ja-JP"/>
        </w:rPr>
        <w:t xml:space="preserve">meeting </w:t>
      </w:r>
      <w:r>
        <w:rPr>
          <w:lang w:eastAsia="ja-JP"/>
        </w:rPr>
        <w:t>during</w:t>
      </w:r>
      <w:r w:rsidRPr="000D499C">
        <w:rPr>
          <w:lang w:eastAsia="ja-JP"/>
        </w:rPr>
        <w:t xml:space="preserve"> </w:t>
      </w:r>
      <w:r>
        <w:rPr>
          <w:lang w:eastAsia="ja-JP"/>
        </w:rPr>
        <w:t xml:space="preserve">13-20 </w:t>
      </w:r>
      <w:r w:rsidRPr="000D499C">
        <w:rPr>
          <w:lang w:eastAsia="ja-JP"/>
        </w:rPr>
        <w:t>February 2018</w:t>
      </w:r>
      <w:r>
        <w:rPr>
          <w:lang w:eastAsia="ja-JP"/>
        </w:rPr>
        <w:t>, Geneva, Switzerland.</w:t>
      </w:r>
      <w:r>
        <w:rPr>
          <w:rFonts w:eastAsia="SimSun"/>
          <w:lang w:eastAsia="zh-CN"/>
        </w:rPr>
        <w:t xml:space="preserve"> Both Working Parties updated the relevant parts of the draft </w:t>
      </w:r>
      <w:r>
        <w:rPr>
          <w:color w:val="000000"/>
        </w:rPr>
        <w:t>CPM text (</w:t>
      </w:r>
      <w:hyperlink r:id="rId9" w:history="1">
        <w:r w:rsidRPr="00C36B95">
          <w:rPr>
            <w:rStyle w:val="Hyperlink"/>
          </w:rPr>
          <w:t xml:space="preserve">Chapter 4 </w:t>
        </w:r>
        <w:r w:rsidR="00446A29" w:rsidRPr="00C36B95">
          <w:rPr>
            <w:color w:val="000000"/>
          </w:rPr>
          <w:t>(Attachment 4.11</w:t>
        </w:r>
        <w:r w:rsidR="00446A29" w:rsidRPr="00C36B95">
          <w:rPr>
            <w:rStyle w:val="Hyperlink"/>
          </w:rPr>
          <w:t xml:space="preserve">) </w:t>
        </w:r>
        <w:r w:rsidRPr="00C36B95">
          <w:rPr>
            <w:rStyle w:val="Hyperlink"/>
          </w:rPr>
          <w:t xml:space="preserve">to Document </w:t>
        </w:r>
        <w:r w:rsidRPr="00FE4D5F">
          <w:rPr>
            <w:rStyle w:val="Hyperlink"/>
            <w:bCs/>
          </w:rPr>
          <w:t>5D/875-E</w:t>
        </w:r>
      </w:hyperlink>
      <w:r w:rsidRPr="00C36B95">
        <w:rPr>
          <w:color w:val="000000"/>
        </w:rPr>
        <w:t xml:space="preserve"> and </w:t>
      </w:r>
      <w:hyperlink r:id="rId10" w:history="1">
        <w:r w:rsidRPr="00C36B95">
          <w:rPr>
            <w:rStyle w:val="Hyperlink"/>
          </w:rPr>
          <w:t xml:space="preserve">Annex 15 to Document </w:t>
        </w:r>
        <w:r w:rsidRPr="00FE4D5F">
          <w:rPr>
            <w:rStyle w:val="Hyperlink"/>
            <w:bCs/>
          </w:rPr>
          <w:t>4C/343-E</w:t>
        </w:r>
      </w:hyperlink>
      <w:r>
        <w:rPr>
          <w:color w:val="000000"/>
        </w:rPr>
        <w:t>)</w:t>
      </w:r>
      <w:r w:rsidR="004755A1">
        <w:rPr>
          <w:color w:val="000000"/>
        </w:rPr>
        <w:t xml:space="preserve"> however, </w:t>
      </w:r>
      <w:r w:rsidR="004755A1">
        <w:rPr>
          <w:rFonts w:eastAsia="Times New Roman"/>
          <w:lang w:val="en-GB" w:bidi="en-US"/>
        </w:rPr>
        <w:t xml:space="preserve">the </w:t>
      </w:r>
      <w:r w:rsidR="004755A1" w:rsidRPr="00652F36">
        <w:rPr>
          <w:rFonts w:eastAsia="Times New Roman"/>
          <w:i/>
          <w:iCs/>
          <w:lang w:val="en-GB" w:bidi="en-US"/>
        </w:rPr>
        <w:t>conclusions</w:t>
      </w:r>
      <w:r w:rsidR="004755A1">
        <w:rPr>
          <w:rFonts w:eastAsia="Times New Roman"/>
          <w:lang w:val="en-GB" w:bidi="en-US"/>
        </w:rPr>
        <w:t xml:space="preserve"> part of the text remain not agreed and is still in square brackets</w:t>
      </w:r>
      <w:r>
        <w:rPr>
          <w:color w:val="000000"/>
        </w:rPr>
        <w:t>.</w:t>
      </w:r>
      <w:r w:rsidR="004755A1">
        <w:rPr>
          <w:color w:val="000000"/>
        </w:rPr>
        <w:t xml:space="preserve"> </w:t>
      </w:r>
    </w:p>
    <w:p w:rsidR="00B64A60" w:rsidRDefault="00B64A60" w:rsidP="00B64A60">
      <w:pPr>
        <w:jc w:val="both"/>
        <w:rPr>
          <w:lang w:val="en-NZ"/>
        </w:rPr>
      </w:pPr>
    </w:p>
    <w:p w:rsidR="00B64A60" w:rsidRPr="00710333" w:rsidRDefault="00B64A60" w:rsidP="009A1FC3">
      <w:pPr>
        <w:pStyle w:val="ListParagraph"/>
        <w:numPr>
          <w:ilvl w:val="0"/>
          <w:numId w:val="30"/>
        </w:numPr>
        <w:spacing w:after="120"/>
        <w:ind w:left="720"/>
        <w:jc w:val="both"/>
        <w:rPr>
          <w:b/>
          <w:lang w:val="en-NZ" w:eastAsia="ko-KR"/>
        </w:rPr>
      </w:pPr>
      <w:r w:rsidRPr="00710333">
        <w:rPr>
          <w:b/>
          <w:lang w:val="en-NZ" w:eastAsia="ko-KR"/>
        </w:rPr>
        <w:t>Documents</w:t>
      </w:r>
    </w:p>
    <w:p w:rsidR="005505D2" w:rsidRPr="004E037E" w:rsidRDefault="00CA0231" w:rsidP="00894AD8">
      <w:pPr>
        <w:numPr>
          <w:ilvl w:val="0"/>
          <w:numId w:val="18"/>
        </w:numPr>
        <w:ind w:leftChars="145" w:left="708"/>
      </w:pPr>
      <w:r w:rsidRPr="00441526">
        <w:rPr>
          <w:lang w:val="en-NZ"/>
        </w:rPr>
        <w:t>Input Documents</w:t>
      </w:r>
      <w:r w:rsidR="00894AD8">
        <w:rPr>
          <w:lang w:val="en-NZ"/>
        </w:rPr>
        <w:t>:</w:t>
      </w:r>
      <w:r w:rsidR="00894AD8">
        <w:rPr>
          <w:lang w:val="en-NZ"/>
        </w:rPr>
        <w:br/>
      </w:r>
      <w:r w:rsidR="00C36B95" w:rsidRPr="004E037E">
        <w:t>APG19-3/</w:t>
      </w:r>
      <w:hyperlink r:id="rId11" w:history="1">
        <w:r w:rsidR="005505D2" w:rsidRPr="004E037E">
          <w:rPr>
            <w:rStyle w:val="Hyperlink"/>
            <w:rFonts w:hint="eastAsia"/>
            <w:lang w:eastAsia="ko-KR"/>
          </w:rPr>
          <w:t>INP-</w:t>
        </w:r>
        <w:r w:rsidR="005505D2" w:rsidRPr="004E037E">
          <w:rPr>
            <w:rStyle w:val="Hyperlink"/>
            <w:lang w:eastAsia="ko-KR"/>
          </w:rPr>
          <w:t>22</w:t>
        </w:r>
        <w:r w:rsidR="005505D2" w:rsidRPr="004E037E">
          <w:rPr>
            <w:rStyle w:val="Hyperlink"/>
            <w:rFonts w:hint="eastAsia"/>
            <w:lang w:eastAsia="ko-KR"/>
          </w:rPr>
          <w:t xml:space="preserve"> </w:t>
        </w:r>
        <w:r w:rsidR="005505D2" w:rsidRPr="004E037E">
          <w:rPr>
            <w:rStyle w:val="Hyperlink"/>
            <w:lang w:eastAsia="ko-KR"/>
          </w:rPr>
          <w:t>(KOR</w:t>
        </w:r>
        <w:r w:rsidR="005505D2" w:rsidRPr="004E037E">
          <w:rPr>
            <w:rStyle w:val="Hyperlink"/>
            <w:rFonts w:hint="eastAsia"/>
            <w:lang w:eastAsia="ko-KR"/>
          </w:rPr>
          <w:t>)</w:t>
        </w:r>
      </w:hyperlink>
      <w:r w:rsidR="005505D2" w:rsidRPr="004E037E">
        <w:rPr>
          <w:rFonts w:hint="eastAsia"/>
          <w:lang w:eastAsia="ko-KR"/>
        </w:rPr>
        <w:t xml:space="preserve">, </w:t>
      </w:r>
      <w:hyperlink r:id="rId12" w:history="1">
        <w:r w:rsidR="005505D2" w:rsidRPr="004E037E">
          <w:rPr>
            <w:rStyle w:val="Hyperlink"/>
            <w:rFonts w:hint="eastAsia"/>
            <w:lang w:eastAsia="ko-KR"/>
          </w:rPr>
          <w:t>INP-</w:t>
        </w:r>
        <w:r w:rsidR="005505D2" w:rsidRPr="004E037E">
          <w:rPr>
            <w:rStyle w:val="Hyperlink"/>
            <w:rFonts w:eastAsiaTheme="minorEastAsia" w:hint="eastAsia"/>
            <w:lang w:eastAsia="ko-KR"/>
          </w:rPr>
          <w:t>2</w:t>
        </w:r>
        <w:r w:rsidR="005505D2" w:rsidRPr="004E037E">
          <w:rPr>
            <w:rStyle w:val="Hyperlink"/>
            <w:rFonts w:eastAsiaTheme="minorEastAsia"/>
            <w:lang w:eastAsia="ko-KR"/>
          </w:rPr>
          <w:t>9Rev.1</w:t>
        </w:r>
        <w:r w:rsidR="005505D2" w:rsidRPr="004E037E">
          <w:rPr>
            <w:rStyle w:val="Hyperlink"/>
            <w:rFonts w:hint="eastAsia"/>
            <w:lang w:eastAsia="ko-KR"/>
          </w:rPr>
          <w:t xml:space="preserve"> (</w:t>
        </w:r>
        <w:r w:rsidR="005505D2" w:rsidRPr="004E037E">
          <w:rPr>
            <w:rStyle w:val="Hyperlink"/>
            <w:lang w:eastAsia="ko-KR"/>
          </w:rPr>
          <w:t>IRN)</w:t>
        </w:r>
      </w:hyperlink>
      <w:r w:rsidR="005505D2" w:rsidRPr="004E037E">
        <w:rPr>
          <w:rFonts w:hint="eastAsia"/>
          <w:lang w:eastAsia="ko-KR"/>
        </w:rPr>
        <w:t xml:space="preserve">, </w:t>
      </w:r>
      <w:hyperlink r:id="rId13" w:history="1">
        <w:r w:rsidR="005505D2" w:rsidRPr="004E037E">
          <w:rPr>
            <w:rStyle w:val="Hyperlink"/>
            <w:rFonts w:hint="eastAsia"/>
            <w:lang w:eastAsia="ko-KR"/>
          </w:rPr>
          <w:t>INP-</w:t>
        </w:r>
        <w:r w:rsidR="005505D2" w:rsidRPr="004E037E">
          <w:rPr>
            <w:rStyle w:val="Hyperlink"/>
            <w:lang w:eastAsia="ko-KR"/>
          </w:rPr>
          <w:t>35</w:t>
        </w:r>
        <w:r w:rsidR="005505D2" w:rsidRPr="004E037E">
          <w:rPr>
            <w:rStyle w:val="Hyperlink"/>
            <w:rFonts w:hint="eastAsia"/>
            <w:lang w:eastAsia="ko-KR"/>
          </w:rPr>
          <w:t xml:space="preserve"> (</w:t>
        </w:r>
        <w:r w:rsidR="005505D2" w:rsidRPr="004E037E">
          <w:rPr>
            <w:rStyle w:val="Hyperlink"/>
            <w:lang w:eastAsia="ko-KR"/>
          </w:rPr>
          <w:t>NZL</w:t>
        </w:r>
        <w:r w:rsidR="005505D2" w:rsidRPr="004E037E">
          <w:rPr>
            <w:rStyle w:val="Hyperlink"/>
            <w:rFonts w:hint="eastAsia"/>
            <w:lang w:eastAsia="ko-KR"/>
          </w:rPr>
          <w:t>)</w:t>
        </w:r>
      </w:hyperlink>
      <w:r w:rsidR="005505D2" w:rsidRPr="004E037E">
        <w:rPr>
          <w:rFonts w:hint="eastAsia"/>
          <w:lang w:eastAsia="ko-KR"/>
        </w:rPr>
        <w:t xml:space="preserve">, </w:t>
      </w:r>
      <w:hyperlink r:id="rId14" w:history="1">
        <w:r w:rsidR="005505D2" w:rsidRPr="004E037E">
          <w:rPr>
            <w:rStyle w:val="Hyperlink"/>
            <w:rFonts w:hint="eastAsia"/>
            <w:lang w:eastAsia="ko-KR"/>
          </w:rPr>
          <w:t>INP-</w:t>
        </w:r>
        <w:r w:rsidR="005505D2" w:rsidRPr="004E037E">
          <w:rPr>
            <w:rStyle w:val="Hyperlink"/>
            <w:lang w:eastAsia="ko-KR"/>
          </w:rPr>
          <w:t xml:space="preserve">42 </w:t>
        </w:r>
        <w:r w:rsidR="005505D2" w:rsidRPr="004E037E">
          <w:rPr>
            <w:rStyle w:val="Hyperlink"/>
            <w:rFonts w:hint="eastAsia"/>
            <w:lang w:eastAsia="ko-KR"/>
          </w:rPr>
          <w:t>(</w:t>
        </w:r>
        <w:r w:rsidR="005505D2" w:rsidRPr="004E037E">
          <w:rPr>
            <w:rStyle w:val="Hyperlink"/>
            <w:lang w:eastAsia="ko-KR"/>
          </w:rPr>
          <w:t>AUS</w:t>
        </w:r>
        <w:r w:rsidR="005505D2" w:rsidRPr="004E037E">
          <w:rPr>
            <w:rStyle w:val="Hyperlink"/>
            <w:rFonts w:hint="eastAsia"/>
            <w:lang w:eastAsia="ko-KR"/>
          </w:rPr>
          <w:t>)</w:t>
        </w:r>
      </w:hyperlink>
      <w:r w:rsidR="005505D2" w:rsidRPr="004E037E">
        <w:rPr>
          <w:lang w:eastAsia="ko-KR"/>
        </w:rPr>
        <w:t xml:space="preserve">, </w:t>
      </w:r>
      <w:hyperlink r:id="rId15" w:history="1">
        <w:r w:rsidR="005505D2" w:rsidRPr="004E037E">
          <w:rPr>
            <w:rStyle w:val="Hyperlink"/>
            <w:lang w:eastAsia="ko-KR"/>
          </w:rPr>
          <w:t>INP-50 (J)</w:t>
        </w:r>
      </w:hyperlink>
      <w:r w:rsidR="005505D2" w:rsidRPr="004E037E">
        <w:rPr>
          <w:lang w:eastAsia="ko-KR"/>
        </w:rPr>
        <w:t xml:space="preserve">, </w:t>
      </w:r>
      <w:hyperlink r:id="rId16" w:history="1">
        <w:r w:rsidR="005505D2" w:rsidRPr="004E037E">
          <w:rPr>
            <w:rStyle w:val="Hyperlink"/>
            <w:lang w:eastAsia="ko-KR"/>
          </w:rPr>
          <w:t>INP-70 (SNG&amp;THA)</w:t>
        </w:r>
      </w:hyperlink>
      <w:r w:rsidR="005505D2" w:rsidRPr="004E037E">
        <w:rPr>
          <w:lang w:eastAsia="ko-KR"/>
        </w:rPr>
        <w:t xml:space="preserve">, </w:t>
      </w:r>
      <w:hyperlink r:id="rId17" w:history="1">
        <w:r w:rsidR="005505D2" w:rsidRPr="004E037E">
          <w:rPr>
            <w:rStyle w:val="Hyperlink"/>
            <w:lang w:eastAsia="ko-KR"/>
          </w:rPr>
          <w:t>INP-79 (INS)</w:t>
        </w:r>
      </w:hyperlink>
      <w:r w:rsidR="005505D2" w:rsidRPr="004E037E">
        <w:rPr>
          <w:lang w:eastAsia="ko-KR"/>
        </w:rPr>
        <w:t xml:space="preserve">, </w:t>
      </w:r>
      <w:hyperlink r:id="rId18" w:history="1">
        <w:r w:rsidR="005505D2" w:rsidRPr="004E037E">
          <w:rPr>
            <w:rStyle w:val="Hyperlink"/>
            <w:lang w:eastAsia="ko-KR"/>
          </w:rPr>
          <w:t>INP-83 (VTN)</w:t>
        </w:r>
      </w:hyperlink>
      <w:r w:rsidR="005505D2" w:rsidRPr="004E037E">
        <w:rPr>
          <w:lang w:eastAsia="ko-KR"/>
        </w:rPr>
        <w:t xml:space="preserve">, </w:t>
      </w:r>
      <w:hyperlink r:id="rId19" w:history="1">
        <w:r w:rsidR="005505D2" w:rsidRPr="004E037E">
          <w:rPr>
            <w:rStyle w:val="Hyperlink"/>
            <w:lang w:eastAsia="ko-KR"/>
          </w:rPr>
          <w:t>INP-87 (CHN)</w:t>
        </w:r>
      </w:hyperlink>
      <w:r w:rsidR="005505D2" w:rsidRPr="004E037E">
        <w:rPr>
          <w:lang w:eastAsia="ko-KR"/>
        </w:rPr>
        <w:t xml:space="preserve">, </w:t>
      </w:r>
      <w:hyperlink r:id="rId20" w:history="1">
        <w:r w:rsidR="005505D2" w:rsidRPr="004E037E">
          <w:rPr>
            <w:rStyle w:val="Hyperlink"/>
            <w:lang w:eastAsia="ko-KR"/>
          </w:rPr>
          <w:t>INP-97Rev.1 (BGD)</w:t>
        </w:r>
      </w:hyperlink>
    </w:p>
    <w:p w:rsidR="005505D2" w:rsidRPr="004E037E" w:rsidRDefault="005505D2" w:rsidP="005505D2">
      <w:pPr>
        <w:jc w:val="both"/>
        <w:rPr>
          <w:rFonts w:eastAsiaTheme="minorEastAsia"/>
          <w:sz w:val="16"/>
          <w:szCs w:val="16"/>
          <w:lang w:eastAsia="ko-KR"/>
        </w:rPr>
      </w:pPr>
    </w:p>
    <w:p w:rsidR="00B64A60" w:rsidRPr="004E037E" w:rsidRDefault="00CA0231" w:rsidP="00894AD8">
      <w:pPr>
        <w:numPr>
          <w:ilvl w:val="0"/>
          <w:numId w:val="18"/>
        </w:numPr>
        <w:ind w:leftChars="145" w:left="708"/>
        <w:rPr>
          <w:lang w:val="en-NZ"/>
        </w:rPr>
      </w:pPr>
      <w:r w:rsidRPr="004E037E">
        <w:rPr>
          <w:lang w:val="en-NZ"/>
        </w:rPr>
        <w:t>Information Documents:</w:t>
      </w:r>
      <w:r w:rsidR="00894AD8" w:rsidRPr="004E037E">
        <w:rPr>
          <w:lang w:val="en-NZ"/>
        </w:rPr>
        <w:br/>
      </w:r>
      <w:hyperlink r:id="rId21" w:history="1">
        <w:r w:rsidR="006748CA" w:rsidRPr="004E037E">
          <w:rPr>
            <w:rStyle w:val="Hyperlink"/>
            <w:bCs/>
          </w:rPr>
          <w:t>APG19-3/INF-6</w:t>
        </w:r>
      </w:hyperlink>
      <w:r w:rsidR="006748CA" w:rsidRPr="004E037E">
        <w:rPr>
          <w:lang w:val="en-NZ"/>
        </w:rPr>
        <w:t xml:space="preserve"> (CEPT)</w:t>
      </w:r>
      <w:r w:rsidR="002D5D53" w:rsidRPr="004E037E">
        <w:rPr>
          <w:lang w:val="en-NZ"/>
        </w:rPr>
        <w:t xml:space="preserve">, </w:t>
      </w:r>
      <w:hyperlink r:id="rId22" w:tgtFrame="_blank" w:history="1">
        <w:r w:rsidR="002D5D53" w:rsidRPr="004E037E">
          <w:rPr>
            <w:rStyle w:val="Hyperlink"/>
            <w:bCs/>
          </w:rPr>
          <w:t>INF-08</w:t>
        </w:r>
      </w:hyperlink>
      <w:r w:rsidR="00182272" w:rsidRPr="004E037E">
        <w:rPr>
          <w:rStyle w:val="Hyperlink"/>
          <w:bCs/>
        </w:rPr>
        <w:t>Rev.1</w:t>
      </w:r>
      <w:r w:rsidR="002D5D53" w:rsidRPr="004E037E">
        <w:rPr>
          <w:rStyle w:val="Hyperlink"/>
          <w:bCs/>
        </w:rPr>
        <w:t xml:space="preserve"> </w:t>
      </w:r>
      <w:r w:rsidR="002D5D53" w:rsidRPr="004E037E">
        <w:rPr>
          <w:lang w:val="en-NZ"/>
        </w:rPr>
        <w:t>(CITEL)</w:t>
      </w:r>
    </w:p>
    <w:p w:rsidR="00B64A60" w:rsidRPr="004E037E" w:rsidRDefault="00B64A60" w:rsidP="00B64A60">
      <w:pPr>
        <w:jc w:val="both"/>
        <w:rPr>
          <w:lang w:val="en-NZ"/>
        </w:rPr>
      </w:pPr>
    </w:p>
    <w:p w:rsidR="00B64A60" w:rsidRPr="004E037E" w:rsidRDefault="00B64A60" w:rsidP="009A1FC3">
      <w:pPr>
        <w:pStyle w:val="ListParagraph"/>
        <w:numPr>
          <w:ilvl w:val="0"/>
          <w:numId w:val="30"/>
        </w:numPr>
        <w:spacing w:after="120"/>
        <w:ind w:left="720"/>
        <w:jc w:val="both"/>
        <w:rPr>
          <w:b/>
          <w:lang w:val="en-NZ" w:eastAsia="ko-KR"/>
        </w:rPr>
      </w:pPr>
      <w:r w:rsidRPr="004E037E">
        <w:rPr>
          <w:b/>
          <w:lang w:val="en-NZ" w:eastAsia="ko-KR"/>
        </w:rPr>
        <w:t>Summary of Discussions</w:t>
      </w:r>
    </w:p>
    <w:p w:rsidR="004A2F96" w:rsidRPr="004E037E" w:rsidRDefault="004A2F96" w:rsidP="009A1FC3">
      <w:pPr>
        <w:pStyle w:val="ListParagraph"/>
        <w:numPr>
          <w:ilvl w:val="1"/>
          <w:numId w:val="31"/>
        </w:numPr>
        <w:spacing w:after="120"/>
        <w:ind w:left="720" w:hanging="720"/>
        <w:jc w:val="both"/>
        <w:rPr>
          <w:b/>
          <w:lang w:val="en-NZ" w:eastAsia="ko-KR"/>
        </w:rPr>
      </w:pPr>
      <w:r w:rsidRPr="004E037E">
        <w:rPr>
          <w:b/>
          <w:lang w:val="en-NZ" w:eastAsia="ko-KR"/>
        </w:rPr>
        <w:t>S</w:t>
      </w:r>
      <w:r w:rsidRPr="004E037E">
        <w:rPr>
          <w:rFonts w:hint="eastAsia"/>
          <w:b/>
          <w:lang w:val="en-NZ" w:eastAsia="ko-KR"/>
        </w:rPr>
        <w:t xml:space="preserve">ummary </w:t>
      </w:r>
      <w:r w:rsidRPr="004E037E">
        <w:rPr>
          <w:b/>
          <w:lang w:val="en-NZ" w:eastAsia="ko-KR"/>
        </w:rPr>
        <w:t xml:space="preserve">of </w:t>
      </w:r>
      <w:r w:rsidR="00F1599C" w:rsidRPr="004E037E">
        <w:rPr>
          <w:b/>
          <w:lang w:val="en-NZ" w:eastAsia="ko-KR"/>
        </w:rPr>
        <w:t xml:space="preserve">APT </w:t>
      </w:r>
      <w:r w:rsidRPr="004E037E">
        <w:rPr>
          <w:b/>
          <w:lang w:val="en-NZ" w:eastAsia="ko-KR"/>
        </w:rPr>
        <w:t>Members’ view</w:t>
      </w:r>
    </w:p>
    <w:p w:rsidR="004A2F96" w:rsidRPr="004E037E" w:rsidRDefault="00EF1644" w:rsidP="009A1FC3">
      <w:pPr>
        <w:pStyle w:val="ListParagraph"/>
        <w:numPr>
          <w:ilvl w:val="2"/>
          <w:numId w:val="31"/>
        </w:numPr>
        <w:spacing w:after="120"/>
        <w:ind w:left="720"/>
        <w:jc w:val="both"/>
        <w:rPr>
          <w:b/>
          <w:lang w:eastAsia="ko-KR"/>
        </w:rPr>
      </w:pPr>
      <w:r w:rsidRPr="004E037E">
        <w:rPr>
          <w:b/>
          <w:lang w:eastAsia="ko-KR"/>
        </w:rPr>
        <w:t>Korea (Rep. of)</w:t>
      </w:r>
      <w:r w:rsidR="00F61EFD" w:rsidRPr="004E037E">
        <w:rPr>
          <w:b/>
          <w:lang w:eastAsia="ko-KR"/>
        </w:rPr>
        <w:t xml:space="preserve"> –</w:t>
      </w:r>
      <w:r w:rsidR="00BB3CA5" w:rsidRPr="004E037E">
        <w:rPr>
          <w:b/>
          <w:lang w:eastAsia="ko-KR"/>
        </w:rPr>
        <w:t xml:space="preserve"> </w:t>
      </w:r>
      <w:r w:rsidR="00BB3CA5" w:rsidRPr="004E037E">
        <w:rPr>
          <w:b/>
          <w:lang w:val="en-NZ" w:eastAsia="ko-KR"/>
        </w:rPr>
        <w:t>Document</w:t>
      </w:r>
      <w:r w:rsidR="00F61EFD" w:rsidRPr="004E037E">
        <w:rPr>
          <w:b/>
          <w:lang w:eastAsia="ko-KR"/>
        </w:rPr>
        <w:t xml:space="preserve"> </w:t>
      </w:r>
      <w:hyperlink r:id="rId23" w:history="1">
        <w:r w:rsidR="00F61EFD" w:rsidRPr="004E037E">
          <w:rPr>
            <w:rStyle w:val="Hyperlink"/>
            <w:lang w:eastAsia="ko-KR"/>
          </w:rPr>
          <w:t>APG19-3/I</w:t>
        </w:r>
        <w:r w:rsidR="00F61EFD" w:rsidRPr="004E037E">
          <w:rPr>
            <w:rStyle w:val="Hyperlink"/>
            <w:rFonts w:hint="eastAsia"/>
            <w:lang w:eastAsia="ko-KR"/>
          </w:rPr>
          <w:t>NP-</w:t>
        </w:r>
        <w:r w:rsidR="00F61EFD" w:rsidRPr="004E037E">
          <w:rPr>
            <w:rStyle w:val="Hyperlink"/>
            <w:lang w:eastAsia="ko-KR"/>
          </w:rPr>
          <w:t>22</w:t>
        </w:r>
      </w:hyperlink>
    </w:p>
    <w:p w:rsidR="00B01152" w:rsidRDefault="00C36B95" w:rsidP="00FC423D">
      <w:pPr>
        <w:tabs>
          <w:tab w:val="left" w:pos="600"/>
        </w:tabs>
        <w:spacing w:after="120"/>
        <w:jc w:val="both"/>
        <w:rPr>
          <w:rFonts w:asciiTheme="majorBidi" w:eastAsia="Malgun Gothic" w:hAnsiTheme="majorBidi" w:cstheme="majorBidi"/>
          <w:bCs/>
          <w:snapToGrid w:val="0"/>
          <w:lang w:eastAsia="ko-KR"/>
        </w:rPr>
      </w:pPr>
      <w:r w:rsidRPr="004E037E">
        <w:rPr>
          <w:rFonts w:eastAsia="SimSun"/>
          <w:iCs/>
          <w:lang w:eastAsia="zh-CN"/>
        </w:rPr>
        <w:t>The Administration of Korea proposes modifications to the APT Preliminary View adopted as at the APG19-2 meeting, as stated below</w:t>
      </w:r>
      <w:r w:rsidR="00B01152">
        <w:rPr>
          <w:rFonts w:asciiTheme="majorBidi" w:eastAsia="Malgun Gothic" w:hAnsiTheme="majorBidi" w:cstheme="majorBidi"/>
          <w:bCs/>
          <w:snapToGrid w:val="0"/>
          <w:lang w:eastAsia="ko-KR"/>
        </w:rPr>
        <w:t>:</w:t>
      </w:r>
    </w:p>
    <w:p w:rsidR="00FC423D" w:rsidRDefault="00DD3CDF" w:rsidP="00FC423D">
      <w:pPr>
        <w:tabs>
          <w:tab w:val="left" w:pos="600"/>
        </w:tabs>
        <w:spacing w:after="120"/>
        <w:jc w:val="both"/>
        <w:rPr>
          <w:rFonts w:asciiTheme="majorBidi" w:eastAsia="Malgun Gothic" w:hAnsiTheme="majorBidi"/>
          <w:bCs/>
          <w:snapToGrid w:val="0"/>
          <w:lang w:eastAsia="ko-KR"/>
        </w:rPr>
      </w:pPr>
      <w:r>
        <w:rPr>
          <w:rFonts w:asciiTheme="majorBidi" w:eastAsia="Malgun Gothic" w:hAnsiTheme="majorBidi" w:cstheme="majorBidi"/>
          <w:bCs/>
          <w:snapToGrid w:val="0"/>
          <w:lang w:eastAsia="ko-KR"/>
        </w:rPr>
        <w:t>“</w:t>
      </w:r>
      <w:r w:rsidR="00FC423D" w:rsidRPr="0045669B">
        <w:rPr>
          <w:rFonts w:asciiTheme="majorBidi" w:eastAsia="Malgun Gothic" w:hAnsiTheme="majorBidi"/>
          <w:bCs/>
          <w:snapToGrid w:val="0"/>
          <w:lang w:eastAsia="ko-KR"/>
        </w:rPr>
        <w:t>APT Members supports conducting ITU-R studies on possible technical and operational measures</w:t>
      </w:r>
      <w:r w:rsidR="00FC423D" w:rsidRPr="0045669B">
        <w:rPr>
          <w:rFonts w:asciiTheme="majorBidi" w:hAnsiTheme="majorBidi"/>
          <w:lang w:eastAsia="de-DE"/>
        </w:rPr>
        <w:t xml:space="preserve"> to ensure coexistence and compatibility between the </w:t>
      </w:r>
      <w:r w:rsidR="00FC423D" w:rsidRPr="0045669B">
        <w:rPr>
          <w:rFonts w:asciiTheme="majorBidi" w:hAnsiTheme="majorBidi"/>
          <w:noProof/>
          <w:lang w:eastAsia="de-DE"/>
        </w:rPr>
        <w:t>terrestrial</w:t>
      </w:r>
      <w:r w:rsidR="00FC423D" w:rsidRPr="0045669B">
        <w:rPr>
          <w:rFonts w:asciiTheme="majorBidi" w:hAnsiTheme="majorBidi"/>
          <w:lang w:eastAsia="de-DE"/>
        </w:rPr>
        <w:t xml:space="preserve"> component of IMT and the satellite </w:t>
      </w:r>
      <w:r w:rsidR="00FC423D" w:rsidRPr="0045669B">
        <w:rPr>
          <w:rFonts w:asciiTheme="majorBidi" w:eastAsia="Malgun Gothic" w:hAnsiTheme="majorBidi"/>
          <w:bCs/>
          <w:snapToGrid w:val="0"/>
          <w:lang w:eastAsia="ko-KR"/>
        </w:rPr>
        <w:t>component</w:t>
      </w:r>
      <w:r w:rsidR="00FC423D" w:rsidRPr="0045669B">
        <w:rPr>
          <w:rFonts w:asciiTheme="majorBidi" w:hAnsiTheme="majorBidi"/>
          <w:lang w:eastAsia="de-DE"/>
        </w:rPr>
        <w:t xml:space="preserve"> of IMT</w:t>
      </w:r>
      <w:r w:rsidR="00FC423D" w:rsidRPr="0045669B">
        <w:rPr>
          <w:rFonts w:asciiTheme="majorBidi" w:hAnsiTheme="majorBidi"/>
          <w:lang w:eastAsia="ko-KR"/>
        </w:rPr>
        <w:t xml:space="preserve"> </w:t>
      </w:r>
      <w:r w:rsidR="00FC423D" w:rsidRPr="0045669B">
        <w:rPr>
          <w:rFonts w:asciiTheme="majorBidi" w:eastAsia="Malgun Gothic" w:hAnsiTheme="majorBidi"/>
          <w:bCs/>
          <w:snapToGrid w:val="0"/>
          <w:lang w:eastAsia="ko-KR"/>
        </w:rPr>
        <w:t>in the frequency bands 1 980–2 010 MHz and 2 170–2 200 MHz in different countries.</w:t>
      </w:r>
    </w:p>
    <w:p w:rsidR="00FC423D" w:rsidRDefault="00FC423D" w:rsidP="00FC423D">
      <w:pPr>
        <w:tabs>
          <w:tab w:val="left" w:pos="600"/>
        </w:tabs>
        <w:jc w:val="both"/>
      </w:pPr>
      <w:r>
        <w:rPr>
          <w:rFonts w:eastAsia="Malgun Gothic"/>
          <w:bCs/>
          <w:snapToGrid w:val="0"/>
          <w:lang w:eastAsia="ko-KR"/>
        </w:rPr>
        <w:t>APT Members are</w:t>
      </w:r>
      <w:r w:rsidRPr="00BD09FE">
        <w:rPr>
          <w:lang w:eastAsia="ko-KR"/>
        </w:rPr>
        <w:t xml:space="preserve"> </w:t>
      </w:r>
      <w:r>
        <w:rPr>
          <w:lang w:eastAsia="ko-KR"/>
        </w:rPr>
        <w:t xml:space="preserve">of </w:t>
      </w:r>
      <w:r w:rsidRPr="00BD09FE">
        <w:rPr>
          <w:lang w:eastAsia="ko-KR"/>
        </w:rPr>
        <w:t>the view that</w:t>
      </w:r>
      <w:r>
        <w:rPr>
          <w:lang w:eastAsia="ko-KR"/>
        </w:rPr>
        <w:t xml:space="preserve"> the protection of terrestrial component of IMT stations from interference caused by </w:t>
      </w:r>
      <w:r w:rsidR="00B351E9">
        <w:rPr>
          <w:lang w:eastAsia="ko-KR"/>
        </w:rPr>
        <w:t xml:space="preserve">earth stations in </w:t>
      </w:r>
      <w:r>
        <w:rPr>
          <w:lang w:eastAsia="ko-KR"/>
        </w:rPr>
        <w:t xml:space="preserve">satellite component of IMT can be ensured by application of the current coordination procedure specified in the provisions of </w:t>
      </w:r>
      <w:r w:rsidR="00FB66AE">
        <w:rPr>
          <w:lang w:eastAsia="ko-KR"/>
        </w:rPr>
        <w:t xml:space="preserve">ITU </w:t>
      </w:r>
      <w:r>
        <w:rPr>
          <w:lang w:eastAsia="ko-KR"/>
        </w:rPr>
        <w:t xml:space="preserve">RR Article </w:t>
      </w:r>
      <w:r w:rsidRPr="00204376">
        <w:rPr>
          <w:b/>
          <w:lang w:eastAsia="ko-KR"/>
        </w:rPr>
        <w:t>9</w:t>
      </w:r>
      <w:r>
        <w:rPr>
          <w:lang w:eastAsia="ko-KR"/>
        </w:rPr>
        <w:t>.</w:t>
      </w:r>
      <w:r w:rsidR="00DD3CDF">
        <w:rPr>
          <w:rFonts w:asciiTheme="majorBidi" w:eastAsia="Malgun Gothic" w:hAnsiTheme="majorBidi" w:cstheme="majorBidi"/>
          <w:bCs/>
          <w:snapToGrid w:val="0"/>
          <w:lang w:eastAsia="ko-KR"/>
        </w:rPr>
        <w:t>”</w:t>
      </w:r>
    </w:p>
    <w:p w:rsidR="00EF1644" w:rsidRDefault="00EF1644" w:rsidP="00EF1644">
      <w:pPr>
        <w:spacing w:after="120"/>
        <w:jc w:val="both"/>
        <w:rPr>
          <w:b/>
          <w:lang w:val="en-NZ" w:eastAsia="ko-KR"/>
        </w:rPr>
      </w:pPr>
    </w:p>
    <w:p w:rsidR="004A2F96" w:rsidRPr="00FC423D" w:rsidRDefault="00FC423D" w:rsidP="009A1FC3">
      <w:pPr>
        <w:pStyle w:val="ListParagraph"/>
        <w:numPr>
          <w:ilvl w:val="2"/>
          <w:numId w:val="31"/>
        </w:numPr>
        <w:spacing w:after="120"/>
        <w:ind w:left="720"/>
        <w:jc w:val="both"/>
        <w:rPr>
          <w:b/>
          <w:lang w:val="en-NZ" w:eastAsia="ko-KR"/>
        </w:rPr>
      </w:pPr>
      <w:r w:rsidRPr="00FC423D">
        <w:rPr>
          <w:b/>
          <w:lang w:val="en-NZ" w:eastAsia="ko-KR"/>
        </w:rPr>
        <w:t>Iran (Islamic Republic of)</w:t>
      </w:r>
      <w:r w:rsidR="004724C1">
        <w:rPr>
          <w:b/>
          <w:lang w:val="en-NZ" w:eastAsia="ko-KR"/>
        </w:rPr>
        <w:t xml:space="preserve"> –</w:t>
      </w:r>
      <w:r w:rsidR="00BB3CA5">
        <w:rPr>
          <w:b/>
          <w:lang w:val="en-NZ" w:eastAsia="ko-KR"/>
        </w:rPr>
        <w:t xml:space="preserve"> Document</w:t>
      </w:r>
      <w:r w:rsidR="004724C1">
        <w:rPr>
          <w:b/>
          <w:lang w:val="en-NZ" w:eastAsia="ko-KR"/>
        </w:rPr>
        <w:t xml:space="preserve"> </w:t>
      </w:r>
      <w:hyperlink r:id="rId24" w:history="1">
        <w:r w:rsidR="004724C1">
          <w:rPr>
            <w:rStyle w:val="Hyperlink"/>
            <w:lang w:eastAsia="ko-KR"/>
          </w:rPr>
          <w:t>APG19-3/I</w:t>
        </w:r>
        <w:r w:rsidR="004724C1" w:rsidRPr="0076668D">
          <w:rPr>
            <w:rStyle w:val="Hyperlink"/>
            <w:rFonts w:hint="eastAsia"/>
            <w:lang w:eastAsia="ko-KR"/>
          </w:rPr>
          <w:t>NP-</w:t>
        </w:r>
        <w:r w:rsidR="004724C1" w:rsidRPr="0076668D">
          <w:rPr>
            <w:rStyle w:val="Hyperlink"/>
            <w:rFonts w:eastAsiaTheme="minorEastAsia" w:hint="eastAsia"/>
            <w:lang w:eastAsia="ko-KR"/>
          </w:rPr>
          <w:t>2</w:t>
        </w:r>
        <w:r w:rsidR="004724C1" w:rsidRPr="0076668D">
          <w:rPr>
            <w:rStyle w:val="Hyperlink"/>
            <w:rFonts w:eastAsiaTheme="minorEastAsia"/>
            <w:lang w:eastAsia="ko-KR"/>
          </w:rPr>
          <w:t>9Rev.1</w:t>
        </w:r>
      </w:hyperlink>
    </w:p>
    <w:p w:rsidR="002F20DE" w:rsidRDefault="002F20DE" w:rsidP="00681307">
      <w:pPr>
        <w:spacing w:before="120"/>
        <w:jc w:val="both"/>
        <w:rPr>
          <w:lang w:val="en-NZ"/>
        </w:rPr>
      </w:pPr>
      <w:r w:rsidRPr="00653941">
        <w:rPr>
          <w:rFonts w:eastAsia="MS Mincho"/>
          <w:lang w:val="en-GB" w:eastAsia="ja-JP"/>
        </w:rPr>
        <w:t xml:space="preserve">This </w:t>
      </w:r>
      <w:r w:rsidRPr="00467FB6">
        <w:rPr>
          <w:rFonts w:eastAsia="MS Mincho"/>
          <w:lang w:val="en-GB" w:eastAsia="ja-JP"/>
        </w:rPr>
        <w:t xml:space="preserve">administration </w:t>
      </w:r>
      <w:r w:rsidRPr="00467FB6">
        <w:rPr>
          <w:rFonts w:eastAsia="Malgun Gothic"/>
          <w:bCs/>
          <w:snapToGrid w:val="0"/>
          <w:lang w:eastAsia="ko-KR"/>
        </w:rPr>
        <w:t>supports conducting ITU-R studies on</w:t>
      </w:r>
      <w:r w:rsidRPr="00721519">
        <w:rPr>
          <w:rFonts w:eastAsia="Malgun Gothic"/>
          <w:bCs/>
          <w:snapToGrid w:val="0"/>
          <w:lang w:eastAsia="ko-KR"/>
        </w:rPr>
        <w:t xml:space="preserve"> possible technical and operational measures</w:t>
      </w:r>
      <w:r w:rsidRPr="00721519">
        <w:rPr>
          <w:lang w:eastAsia="de-DE"/>
        </w:rPr>
        <w:t xml:space="preserve"> to ensure coexistence and compatibility between the </w:t>
      </w:r>
      <w:r w:rsidRPr="00721519">
        <w:rPr>
          <w:noProof/>
          <w:lang w:eastAsia="de-DE"/>
        </w:rPr>
        <w:t>terrestrial</w:t>
      </w:r>
      <w:r w:rsidRPr="00721519">
        <w:rPr>
          <w:lang w:eastAsia="de-DE"/>
        </w:rPr>
        <w:t xml:space="preserve"> component of IMT and the </w:t>
      </w:r>
      <w:r w:rsidRPr="00681307">
        <w:rPr>
          <w:rFonts w:eastAsia="MS Mincho"/>
          <w:lang w:val="en-GB" w:eastAsia="ja-JP"/>
        </w:rPr>
        <w:t>satellite</w:t>
      </w:r>
      <w:r w:rsidRPr="00721519">
        <w:rPr>
          <w:lang w:eastAsia="de-DE"/>
        </w:rPr>
        <w:t xml:space="preserve"> </w:t>
      </w:r>
      <w:r w:rsidRPr="006F3485">
        <w:rPr>
          <w:rFonts w:eastAsia="Malgun Gothic"/>
          <w:bCs/>
          <w:snapToGrid w:val="0"/>
          <w:lang w:eastAsia="ko-KR"/>
        </w:rPr>
        <w:t>component</w:t>
      </w:r>
      <w:r w:rsidRPr="00721519">
        <w:rPr>
          <w:lang w:eastAsia="de-DE"/>
        </w:rPr>
        <w:t xml:space="preserve"> of IMT</w:t>
      </w:r>
      <w:r w:rsidRPr="00721519">
        <w:rPr>
          <w:lang w:eastAsia="ko-KR"/>
        </w:rPr>
        <w:t xml:space="preserve"> </w:t>
      </w:r>
      <w:r w:rsidRPr="00721519">
        <w:rPr>
          <w:rFonts w:eastAsia="Malgun Gothic"/>
          <w:bCs/>
          <w:snapToGrid w:val="0"/>
          <w:lang w:eastAsia="ko-KR"/>
        </w:rPr>
        <w:t>in the frequency bands 1 980–2 010 MHz and 2 170–2 200 MHz in different countries</w:t>
      </w:r>
      <w:r w:rsidRPr="0009345B">
        <w:rPr>
          <w:lang w:val="en-NZ"/>
        </w:rPr>
        <w:t xml:space="preserve"> in accordance with Resolution </w:t>
      </w:r>
      <w:r w:rsidRPr="00442832">
        <w:rPr>
          <w:b/>
          <w:lang w:val="en-NZ"/>
        </w:rPr>
        <w:t>2</w:t>
      </w:r>
      <w:r>
        <w:rPr>
          <w:b/>
          <w:lang w:val="en-NZ"/>
        </w:rPr>
        <w:t>12</w:t>
      </w:r>
      <w:r w:rsidRPr="00442832">
        <w:rPr>
          <w:b/>
          <w:lang w:val="en-NZ"/>
        </w:rPr>
        <w:t xml:space="preserve"> (</w:t>
      </w:r>
      <w:r>
        <w:rPr>
          <w:b/>
          <w:lang w:val="en-NZ"/>
        </w:rPr>
        <w:t xml:space="preserve">Rev. </w:t>
      </w:r>
      <w:r w:rsidRPr="00442832">
        <w:rPr>
          <w:b/>
          <w:lang w:val="en-NZ"/>
        </w:rPr>
        <w:t>WRC-15).</w:t>
      </w:r>
    </w:p>
    <w:p w:rsidR="002F20DE" w:rsidRDefault="002F20DE" w:rsidP="00681307">
      <w:pPr>
        <w:spacing w:before="120"/>
        <w:jc w:val="both"/>
      </w:pPr>
      <w:r w:rsidRPr="00653941">
        <w:rPr>
          <w:rFonts w:eastAsia="MS Mincho"/>
          <w:lang w:val="en-GB" w:eastAsia="ja-JP"/>
        </w:rPr>
        <w:t>This administration</w:t>
      </w:r>
      <w:r>
        <w:rPr>
          <w:rFonts w:eastAsia="MS Mincho"/>
          <w:lang w:val="en-GB" w:eastAsia="ja-JP"/>
        </w:rPr>
        <w:t xml:space="preserve"> is</w:t>
      </w:r>
      <w:r>
        <w:rPr>
          <w:lang w:val="en-NZ"/>
        </w:rPr>
        <w:t xml:space="preserve"> of the view that </w:t>
      </w:r>
      <w:r w:rsidRPr="0009345B">
        <w:rPr>
          <w:lang w:val="en-NZ"/>
        </w:rPr>
        <w:t xml:space="preserve">the </w:t>
      </w:r>
      <w:r>
        <w:rPr>
          <w:lang w:val="en-NZ"/>
        </w:rPr>
        <w:t xml:space="preserve">proposed interference mitigation techniques in draft CPM text and recommendation/report </w:t>
      </w:r>
      <w:r w:rsidRPr="00681307">
        <w:rPr>
          <w:rFonts w:eastAsia="Malgun Gothic"/>
          <w:bCs/>
          <w:snapToGrid w:val="0"/>
          <w:lang w:eastAsia="ko-KR"/>
        </w:rPr>
        <w:t>for</w:t>
      </w:r>
      <w:r>
        <w:rPr>
          <w:lang w:val="en-NZ"/>
        </w:rPr>
        <w:t xml:space="preserve"> space component IMT, should be potentially feasible in point of current technological advancement and impact on IMT service-delivery.</w:t>
      </w:r>
    </w:p>
    <w:p w:rsidR="00FC423D" w:rsidRDefault="00FC423D" w:rsidP="00FC423D">
      <w:pPr>
        <w:spacing w:after="120"/>
        <w:ind w:left="720" w:hanging="720"/>
        <w:jc w:val="both"/>
        <w:rPr>
          <w:b/>
          <w:lang w:val="en-NZ" w:eastAsia="ko-KR"/>
        </w:rPr>
      </w:pPr>
    </w:p>
    <w:p w:rsidR="00C65FE9" w:rsidRPr="00FC423D" w:rsidRDefault="003B1C84" w:rsidP="009A1FC3">
      <w:pPr>
        <w:pStyle w:val="ListParagraph"/>
        <w:numPr>
          <w:ilvl w:val="2"/>
          <w:numId w:val="31"/>
        </w:numPr>
        <w:spacing w:after="120"/>
        <w:ind w:left="720"/>
        <w:jc w:val="both"/>
        <w:rPr>
          <w:b/>
          <w:lang w:val="en-NZ" w:eastAsia="ko-KR"/>
        </w:rPr>
      </w:pPr>
      <w:r w:rsidRPr="003B1C84">
        <w:rPr>
          <w:b/>
          <w:lang w:val="en-NZ" w:eastAsia="ko-KR"/>
        </w:rPr>
        <w:t>New Zealand</w:t>
      </w:r>
      <w:r w:rsidR="00BB3CA5">
        <w:rPr>
          <w:b/>
          <w:lang w:val="en-NZ" w:eastAsia="ko-KR"/>
        </w:rPr>
        <w:t xml:space="preserve"> – Document </w:t>
      </w:r>
      <w:hyperlink r:id="rId25" w:history="1">
        <w:r w:rsidR="00BB3CA5">
          <w:rPr>
            <w:rStyle w:val="Hyperlink"/>
            <w:lang w:eastAsia="ko-KR"/>
          </w:rPr>
          <w:t>APG19-3/I</w:t>
        </w:r>
        <w:r w:rsidR="00BB3CA5" w:rsidRPr="0076668D">
          <w:rPr>
            <w:rStyle w:val="Hyperlink"/>
            <w:rFonts w:hint="eastAsia"/>
            <w:lang w:eastAsia="ko-KR"/>
          </w:rPr>
          <w:t>NP-</w:t>
        </w:r>
        <w:r w:rsidR="00BB3CA5" w:rsidRPr="0076668D">
          <w:rPr>
            <w:rStyle w:val="Hyperlink"/>
            <w:lang w:eastAsia="ko-KR"/>
          </w:rPr>
          <w:t>35</w:t>
        </w:r>
      </w:hyperlink>
    </w:p>
    <w:p w:rsidR="00681307" w:rsidRDefault="00681307" w:rsidP="00FB66AE">
      <w:pPr>
        <w:spacing w:before="120"/>
        <w:jc w:val="both"/>
        <w:rPr>
          <w:lang w:val="en-NZ"/>
        </w:rPr>
      </w:pPr>
      <w:r w:rsidRPr="00642A9D">
        <w:rPr>
          <w:lang w:val="en-NZ"/>
        </w:rPr>
        <w:t xml:space="preserve">New </w:t>
      </w:r>
      <w:r w:rsidRPr="00681307">
        <w:rPr>
          <w:rFonts w:eastAsia="MS Mincho"/>
          <w:lang w:val="en-GB" w:eastAsia="ja-JP"/>
        </w:rPr>
        <w:t>Zealand</w:t>
      </w:r>
      <w:r w:rsidRPr="00642A9D">
        <w:rPr>
          <w:lang w:val="en-NZ"/>
        </w:rPr>
        <w:t xml:space="preserve"> supports appropriate studies on the technical and operational measures to ensure coexistence and compatibility between the terrestrial and satellite components of IMT.</w:t>
      </w:r>
    </w:p>
    <w:p w:rsidR="00681307" w:rsidRDefault="00681307" w:rsidP="00FB66AE">
      <w:pPr>
        <w:spacing w:before="120"/>
        <w:jc w:val="both"/>
        <w:rPr>
          <w:lang w:val="en-NZ"/>
        </w:rPr>
      </w:pPr>
      <w:r w:rsidRPr="00A115CC">
        <w:rPr>
          <w:lang w:val="en-NZ"/>
        </w:rPr>
        <w:t xml:space="preserve">Since the Radio </w:t>
      </w:r>
      <w:r w:rsidRPr="00681307">
        <w:rPr>
          <w:rFonts w:eastAsia="Malgun Gothic"/>
          <w:bCs/>
          <w:snapToGrid w:val="0"/>
          <w:lang w:eastAsia="ko-KR"/>
        </w:rPr>
        <w:t>Regulations</w:t>
      </w:r>
      <w:r w:rsidRPr="00A115CC">
        <w:rPr>
          <w:lang w:val="en-NZ"/>
        </w:rPr>
        <w:t xml:space="preserve"> did not establish priority neither between terrestrial and satellite components of IMT, nor between Mobile and Mobile-Satellite services in the band</w:t>
      </w:r>
      <w:r>
        <w:rPr>
          <w:lang w:val="en-NZ"/>
        </w:rPr>
        <w:t>s</w:t>
      </w:r>
      <w:r w:rsidRPr="00A115CC">
        <w:rPr>
          <w:lang w:val="en-NZ"/>
        </w:rPr>
        <w:t xml:space="preserve"> 1</w:t>
      </w:r>
      <w:r w:rsidR="00FB66AE">
        <w:rPr>
          <w:lang w:val="en-NZ"/>
        </w:rPr>
        <w:t> </w:t>
      </w:r>
      <w:r w:rsidRPr="00A115CC">
        <w:rPr>
          <w:lang w:val="en-NZ"/>
        </w:rPr>
        <w:t>980</w:t>
      </w:r>
      <w:r w:rsidR="00FB66AE">
        <w:rPr>
          <w:lang w:val="en-NZ"/>
        </w:rPr>
        <w:t>–</w:t>
      </w:r>
      <w:r w:rsidRPr="00A115CC">
        <w:rPr>
          <w:lang w:val="en-NZ"/>
        </w:rPr>
        <w:t>2</w:t>
      </w:r>
      <w:r w:rsidR="00FB66AE">
        <w:rPr>
          <w:lang w:val="en-NZ"/>
        </w:rPr>
        <w:t> </w:t>
      </w:r>
      <w:r w:rsidRPr="00A115CC">
        <w:rPr>
          <w:lang w:val="en-NZ"/>
        </w:rPr>
        <w:t>010</w:t>
      </w:r>
      <w:r w:rsidR="00FB66AE">
        <w:rPr>
          <w:lang w:val="en-NZ"/>
        </w:rPr>
        <w:t> </w:t>
      </w:r>
      <w:r w:rsidRPr="00A115CC">
        <w:rPr>
          <w:lang w:val="en-NZ"/>
        </w:rPr>
        <w:t>MHz</w:t>
      </w:r>
      <w:r>
        <w:rPr>
          <w:lang w:val="en-NZ"/>
        </w:rPr>
        <w:t xml:space="preserve"> and </w:t>
      </w:r>
      <w:r w:rsidRPr="00A115CC">
        <w:rPr>
          <w:lang w:val="en-NZ"/>
        </w:rPr>
        <w:t>2</w:t>
      </w:r>
      <w:r w:rsidR="00FB66AE">
        <w:rPr>
          <w:lang w:val="en-NZ"/>
        </w:rPr>
        <w:t> </w:t>
      </w:r>
      <w:r w:rsidRPr="00A115CC">
        <w:rPr>
          <w:lang w:val="en-NZ"/>
        </w:rPr>
        <w:t>170</w:t>
      </w:r>
      <w:r w:rsidR="00FB66AE">
        <w:rPr>
          <w:lang w:val="en-NZ"/>
        </w:rPr>
        <w:t>–</w:t>
      </w:r>
      <w:r w:rsidRPr="00A115CC">
        <w:rPr>
          <w:lang w:val="en-NZ"/>
        </w:rPr>
        <w:t>2</w:t>
      </w:r>
      <w:r w:rsidR="00FB66AE">
        <w:rPr>
          <w:lang w:val="en-NZ"/>
        </w:rPr>
        <w:t> </w:t>
      </w:r>
      <w:r w:rsidRPr="00A115CC">
        <w:rPr>
          <w:lang w:val="en-NZ"/>
        </w:rPr>
        <w:t>200</w:t>
      </w:r>
      <w:r w:rsidR="00FB66AE">
        <w:rPr>
          <w:lang w:val="en-NZ"/>
        </w:rPr>
        <w:t> </w:t>
      </w:r>
      <w:r w:rsidRPr="00A115CC">
        <w:rPr>
          <w:lang w:val="en-NZ"/>
        </w:rPr>
        <w:t xml:space="preserve">MHz, New Zealand is currently of the view that the implementation of these technical and operational measures could be considered for new services to be deployed </w:t>
      </w:r>
      <w:r w:rsidRPr="00A115CC">
        <w:rPr>
          <w:lang w:val="en-NZ"/>
        </w:rPr>
        <w:lastRenderedPageBreak/>
        <w:t xml:space="preserve">after a specific future date decided by </w:t>
      </w:r>
      <w:r w:rsidRPr="00FB66AE">
        <w:rPr>
          <w:b/>
          <w:bCs/>
          <w:lang w:val="en-NZ"/>
        </w:rPr>
        <w:t>WRC-19</w:t>
      </w:r>
      <w:r w:rsidRPr="00A115CC">
        <w:rPr>
          <w:lang w:val="en-NZ"/>
        </w:rPr>
        <w:t xml:space="preserve"> while existing services already deployed before this date would not be constrained by these measures.</w:t>
      </w:r>
    </w:p>
    <w:p w:rsidR="00681307" w:rsidRDefault="00681307" w:rsidP="008454C8">
      <w:pPr>
        <w:pStyle w:val="ListParagraph"/>
        <w:spacing w:after="120"/>
        <w:ind w:left="708"/>
        <w:jc w:val="both"/>
        <w:rPr>
          <w:lang w:val="en-NZ"/>
        </w:rPr>
      </w:pPr>
    </w:p>
    <w:p w:rsidR="003B1C84" w:rsidRPr="00FC423D" w:rsidRDefault="003B1C84" w:rsidP="009A1FC3">
      <w:pPr>
        <w:pStyle w:val="ListParagraph"/>
        <w:numPr>
          <w:ilvl w:val="2"/>
          <w:numId w:val="31"/>
        </w:numPr>
        <w:spacing w:after="120"/>
        <w:ind w:left="720"/>
        <w:jc w:val="both"/>
        <w:rPr>
          <w:b/>
          <w:lang w:val="en-NZ" w:eastAsia="ko-KR"/>
        </w:rPr>
      </w:pPr>
      <w:r>
        <w:rPr>
          <w:b/>
          <w:lang w:val="en-NZ" w:eastAsia="ko-KR"/>
        </w:rPr>
        <w:t>Australia</w:t>
      </w:r>
      <w:r w:rsidR="005A5352">
        <w:rPr>
          <w:b/>
          <w:lang w:val="en-NZ" w:eastAsia="ko-KR"/>
        </w:rPr>
        <w:t xml:space="preserve"> – Document</w:t>
      </w:r>
      <w:r w:rsidR="00BB3CA5">
        <w:rPr>
          <w:b/>
          <w:lang w:val="en-NZ" w:eastAsia="ko-KR"/>
        </w:rPr>
        <w:t xml:space="preserve"> </w:t>
      </w:r>
      <w:hyperlink r:id="rId26" w:history="1">
        <w:r w:rsidR="005A5352">
          <w:rPr>
            <w:rStyle w:val="Hyperlink"/>
            <w:lang w:eastAsia="ko-KR"/>
          </w:rPr>
          <w:t>APG19-3/I</w:t>
        </w:r>
        <w:r w:rsidR="005A5352" w:rsidRPr="0076668D">
          <w:rPr>
            <w:rStyle w:val="Hyperlink"/>
            <w:rFonts w:hint="eastAsia"/>
            <w:lang w:eastAsia="ko-KR"/>
          </w:rPr>
          <w:t>NP-</w:t>
        </w:r>
        <w:r w:rsidR="005A5352" w:rsidRPr="0076668D">
          <w:rPr>
            <w:rStyle w:val="Hyperlink"/>
            <w:lang w:eastAsia="ko-KR"/>
          </w:rPr>
          <w:t>42</w:t>
        </w:r>
      </w:hyperlink>
    </w:p>
    <w:p w:rsidR="002B5620" w:rsidRPr="00D8523D" w:rsidRDefault="002B5620" w:rsidP="00FB66AE">
      <w:pPr>
        <w:spacing w:after="100" w:afterAutospacing="1"/>
        <w:jc w:val="both"/>
        <w:rPr>
          <w:rFonts w:eastAsia="Times New Roman"/>
          <w:lang w:bidi="en-US"/>
        </w:rPr>
      </w:pPr>
      <w:r w:rsidRPr="00D8523D">
        <w:rPr>
          <w:rFonts w:eastAsia="Times New Roman"/>
          <w:lang w:bidi="en-US"/>
        </w:rPr>
        <w:t xml:space="preserve">Australia supports development of appropriate technical and operational measures to ensure coexistence and compatibility between the terrestrial component of IMT (in the mobile service) and the satellite component of IMT </w:t>
      </w:r>
      <w:r w:rsidRPr="00DF7DD8">
        <w:rPr>
          <w:rFonts w:eastAsia="Times New Roman"/>
          <w:lang w:bidi="en-US"/>
        </w:rPr>
        <w:t>(in the mobile service and the mobile-satellite service)</w:t>
      </w:r>
      <w:r>
        <w:rPr>
          <w:rFonts w:eastAsia="Times New Roman"/>
          <w:lang w:bidi="en-US"/>
        </w:rPr>
        <w:t xml:space="preserve"> in the frequency bands 1 980-</w:t>
      </w:r>
      <w:r w:rsidRPr="00D8523D">
        <w:rPr>
          <w:rFonts w:eastAsia="Times New Roman"/>
          <w:lang w:bidi="en-US"/>
        </w:rPr>
        <w:t>2 010</w:t>
      </w:r>
      <w:r w:rsidR="00FB66AE">
        <w:rPr>
          <w:rFonts w:eastAsia="Times New Roman"/>
          <w:lang w:bidi="en-US"/>
        </w:rPr>
        <w:t> </w:t>
      </w:r>
      <w:r w:rsidRPr="00D8523D">
        <w:rPr>
          <w:rFonts w:eastAsia="Times New Roman"/>
          <w:lang w:bidi="en-US"/>
        </w:rPr>
        <w:t>MHz and 2</w:t>
      </w:r>
      <w:r w:rsidR="00FB66AE">
        <w:rPr>
          <w:rFonts w:eastAsia="Times New Roman"/>
          <w:lang w:bidi="en-US"/>
        </w:rPr>
        <w:t> </w:t>
      </w:r>
      <w:r w:rsidRPr="00D8523D">
        <w:rPr>
          <w:rFonts w:eastAsia="Times New Roman"/>
          <w:lang w:bidi="en-US"/>
        </w:rPr>
        <w:t>170</w:t>
      </w:r>
      <w:r w:rsidR="00FB66AE">
        <w:rPr>
          <w:rFonts w:eastAsia="Times New Roman"/>
          <w:lang w:bidi="en-US"/>
        </w:rPr>
        <w:t>–</w:t>
      </w:r>
      <w:r w:rsidRPr="00D8523D">
        <w:rPr>
          <w:rFonts w:eastAsia="Times New Roman"/>
          <w:lang w:bidi="en-US"/>
        </w:rPr>
        <w:t>2</w:t>
      </w:r>
      <w:r w:rsidR="00FB66AE">
        <w:rPr>
          <w:rFonts w:eastAsia="Times New Roman"/>
          <w:lang w:bidi="en-US"/>
        </w:rPr>
        <w:t> </w:t>
      </w:r>
      <w:r w:rsidRPr="00D8523D">
        <w:rPr>
          <w:rFonts w:eastAsia="Times New Roman"/>
          <w:lang w:bidi="en-US"/>
        </w:rPr>
        <w:t>200</w:t>
      </w:r>
      <w:r w:rsidR="00FB66AE">
        <w:rPr>
          <w:rFonts w:eastAsia="Times New Roman"/>
          <w:lang w:bidi="en-US"/>
        </w:rPr>
        <w:t> </w:t>
      </w:r>
      <w:r w:rsidRPr="00D8523D">
        <w:rPr>
          <w:rFonts w:eastAsia="Times New Roman"/>
          <w:lang w:bidi="en-US"/>
        </w:rPr>
        <w:t xml:space="preserve">MHz in accordance with Resolution </w:t>
      </w:r>
      <w:r w:rsidRPr="00D8523D">
        <w:rPr>
          <w:rFonts w:eastAsia="Times New Roman"/>
          <w:b/>
          <w:lang w:bidi="en-US"/>
        </w:rPr>
        <w:t>212 (Rev.WRC-15)</w:t>
      </w:r>
      <w:r w:rsidRPr="000670C1">
        <w:rPr>
          <w:rFonts w:eastAsia="Times New Roman"/>
          <w:lang w:bidi="en-US"/>
        </w:rPr>
        <w:t>.</w:t>
      </w:r>
    </w:p>
    <w:p w:rsidR="002B5620" w:rsidRDefault="002B5620" w:rsidP="00483536">
      <w:pPr>
        <w:jc w:val="both"/>
        <w:rPr>
          <w:rFonts w:eastAsia="Times New Roman"/>
          <w:lang w:bidi="en-US"/>
        </w:rPr>
      </w:pPr>
      <w:r w:rsidRPr="00D8523D">
        <w:rPr>
          <w:rFonts w:eastAsia="Times New Roman"/>
          <w:lang w:bidi="en-US"/>
        </w:rPr>
        <w:t>Australia is of the view that any outcome of this Issue should not result in any changes to the Radio Regulations. Australia is further of the view that this Issue may be addressed by appropriate technical and operational measures in new or revised ITU-R Recommendations or Reports</w:t>
      </w:r>
      <w:r>
        <w:rPr>
          <w:rFonts w:eastAsia="Times New Roman"/>
          <w:lang w:bidi="en-US"/>
        </w:rPr>
        <w:t>.</w:t>
      </w:r>
    </w:p>
    <w:p w:rsidR="003B1C84" w:rsidRDefault="003B1C84" w:rsidP="003B1C84">
      <w:pPr>
        <w:spacing w:after="120"/>
        <w:jc w:val="both"/>
        <w:rPr>
          <w:lang w:val="en-NZ"/>
        </w:rPr>
      </w:pPr>
    </w:p>
    <w:p w:rsidR="003B1C84" w:rsidRPr="003B1C84" w:rsidRDefault="003B1C84" w:rsidP="009A1FC3">
      <w:pPr>
        <w:pStyle w:val="ListParagraph"/>
        <w:numPr>
          <w:ilvl w:val="2"/>
          <w:numId w:val="31"/>
        </w:numPr>
        <w:spacing w:after="120"/>
        <w:ind w:left="720"/>
        <w:jc w:val="both"/>
        <w:rPr>
          <w:b/>
          <w:lang w:val="en-NZ" w:eastAsia="ko-KR"/>
        </w:rPr>
      </w:pPr>
      <w:r w:rsidRPr="003B1C84">
        <w:rPr>
          <w:b/>
          <w:lang w:val="en-NZ" w:eastAsia="ko-KR"/>
        </w:rPr>
        <w:t>Japan</w:t>
      </w:r>
      <w:r w:rsidR="005A5352">
        <w:rPr>
          <w:b/>
          <w:lang w:val="en-NZ" w:eastAsia="ko-KR"/>
        </w:rPr>
        <w:t xml:space="preserve"> </w:t>
      </w:r>
      <w:r w:rsidR="00CC5200">
        <w:rPr>
          <w:b/>
          <w:lang w:val="en-NZ" w:eastAsia="ko-KR"/>
        </w:rPr>
        <w:t>–</w:t>
      </w:r>
      <w:r w:rsidR="00C76FAD">
        <w:rPr>
          <w:b/>
          <w:lang w:val="en-NZ" w:eastAsia="ko-KR"/>
        </w:rPr>
        <w:t xml:space="preserve"> Document</w:t>
      </w:r>
      <w:r w:rsidR="005A5352">
        <w:rPr>
          <w:b/>
          <w:lang w:val="en-NZ" w:eastAsia="ko-KR"/>
        </w:rPr>
        <w:t xml:space="preserve"> </w:t>
      </w:r>
      <w:hyperlink r:id="rId27" w:history="1">
        <w:r w:rsidR="00CC5200">
          <w:rPr>
            <w:rStyle w:val="Hyperlink"/>
            <w:lang w:eastAsia="ko-KR"/>
          </w:rPr>
          <w:t>APG19-3/I</w:t>
        </w:r>
        <w:r w:rsidR="005A5352" w:rsidRPr="0076668D">
          <w:rPr>
            <w:rStyle w:val="Hyperlink"/>
            <w:lang w:eastAsia="ko-KR"/>
          </w:rPr>
          <w:t>NP-50</w:t>
        </w:r>
      </w:hyperlink>
    </w:p>
    <w:p w:rsidR="0016348A" w:rsidRDefault="009F45C2" w:rsidP="0016348A">
      <w:pPr>
        <w:jc w:val="both"/>
        <w:rPr>
          <w:rFonts w:asciiTheme="majorBidi" w:eastAsia="Malgun Gothic" w:hAnsiTheme="majorBidi" w:cstheme="majorBidi"/>
          <w:bCs/>
          <w:snapToGrid w:val="0"/>
          <w:lang w:eastAsia="ko-KR"/>
        </w:rPr>
      </w:pPr>
      <w:r w:rsidRPr="0016348A">
        <w:rPr>
          <w:rFonts w:eastAsia="SimSun"/>
          <w:iCs/>
          <w:lang w:eastAsia="zh-CN"/>
        </w:rPr>
        <w:t>The Administration of Japan proposes modifications to the APT Preliminary View adopted as at the APG19-2 meeting, as stated below</w:t>
      </w:r>
      <w:r w:rsidR="00B01152">
        <w:rPr>
          <w:rFonts w:asciiTheme="majorBidi" w:eastAsia="Malgun Gothic" w:hAnsiTheme="majorBidi" w:cstheme="majorBidi"/>
          <w:bCs/>
          <w:snapToGrid w:val="0"/>
          <w:lang w:eastAsia="ko-KR"/>
        </w:rPr>
        <w:t>:</w:t>
      </w:r>
    </w:p>
    <w:p w:rsidR="00BB2BC5" w:rsidRDefault="00DD3CDF" w:rsidP="0016348A">
      <w:pPr>
        <w:jc w:val="both"/>
        <w:rPr>
          <w:rFonts w:eastAsiaTheme="minorEastAsia"/>
          <w:lang w:eastAsia="ja-JP"/>
        </w:rPr>
      </w:pPr>
      <w:r>
        <w:rPr>
          <w:rFonts w:asciiTheme="majorBidi" w:eastAsia="Malgun Gothic" w:hAnsiTheme="majorBidi" w:cstheme="majorBidi"/>
          <w:bCs/>
          <w:snapToGrid w:val="0"/>
          <w:lang w:eastAsia="ko-KR"/>
        </w:rPr>
        <w:t>“</w:t>
      </w:r>
      <w:r w:rsidR="00BB2BC5">
        <w:rPr>
          <w:rFonts w:asciiTheme="majorBidi" w:eastAsia="Malgun Gothic" w:hAnsiTheme="majorBidi" w:cstheme="majorBidi" w:hint="eastAsia"/>
          <w:bCs/>
          <w:snapToGrid w:val="0"/>
          <w:lang w:eastAsia="ko-KR"/>
        </w:rPr>
        <w:t>APT M</w:t>
      </w:r>
      <w:r w:rsidR="00BB2BC5" w:rsidRPr="00721519">
        <w:rPr>
          <w:rFonts w:asciiTheme="majorBidi" w:eastAsia="Malgun Gothic" w:hAnsiTheme="majorBidi" w:cstheme="majorBidi" w:hint="eastAsia"/>
          <w:bCs/>
          <w:snapToGrid w:val="0"/>
          <w:lang w:eastAsia="ko-KR"/>
        </w:rPr>
        <w:t>embers</w:t>
      </w:r>
      <w:r w:rsidR="00BB2BC5" w:rsidRPr="00721519">
        <w:rPr>
          <w:rFonts w:asciiTheme="majorBidi" w:eastAsia="Malgun Gothic" w:hAnsiTheme="majorBidi" w:cstheme="majorBidi"/>
          <w:bCs/>
          <w:snapToGrid w:val="0"/>
          <w:lang w:eastAsia="ko-KR"/>
        </w:rPr>
        <w:t xml:space="preserve"> supports </w:t>
      </w:r>
      <w:r w:rsidR="00BB2BC5" w:rsidRPr="0016348A">
        <w:rPr>
          <w:rFonts w:eastAsia="SimSun"/>
          <w:iCs/>
          <w:lang w:eastAsia="zh-CN"/>
        </w:rPr>
        <w:t>conducting</w:t>
      </w:r>
      <w:r w:rsidR="00BB2BC5" w:rsidRPr="00721519">
        <w:rPr>
          <w:rFonts w:asciiTheme="majorBidi" w:eastAsia="Malgun Gothic" w:hAnsiTheme="majorBidi" w:cstheme="majorBidi"/>
          <w:bCs/>
          <w:snapToGrid w:val="0"/>
          <w:lang w:eastAsia="ko-KR"/>
        </w:rPr>
        <w:t xml:space="preserve"> ITU-R studies on possible technical and operational measures</w:t>
      </w:r>
      <w:r w:rsidR="00BB2BC5" w:rsidRPr="00721519">
        <w:rPr>
          <w:rFonts w:asciiTheme="majorBidi" w:hAnsiTheme="majorBidi" w:cstheme="majorBidi"/>
          <w:lang w:eastAsia="de-DE"/>
        </w:rPr>
        <w:t xml:space="preserve"> to ensure coexistence and compatibility between the </w:t>
      </w:r>
      <w:r w:rsidR="00BB2BC5" w:rsidRPr="00721519">
        <w:rPr>
          <w:rFonts w:asciiTheme="majorBidi" w:hAnsiTheme="majorBidi" w:cstheme="majorBidi"/>
          <w:noProof/>
          <w:lang w:eastAsia="de-DE"/>
        </w:rPr>
        <w:t>terrestrial</w:t>
      </w:r>
      <w:r w:rsidR="00BB2BC5" w:rsidRPr="00721519">
        <w:rPr>
          <w:rFonts w:asciiTheme="majorBidi" w:hAnsiTheme="majorBidi" w:cstheme="majorBidi"/>
          <w:lang w:eastAsia="de-DE"/>
        </w:rPr>
        <w:t xml:space="preserve"> component of IMT and the satellite </w:t>
      </w:r>
      <w:r w:rsidR="00BB2BC5" w:rsidRPr="006F3485">
        <w:rPr>
          <w:rFonts w:asciiTheme="majorBidi" w:eastAsia="Malgun Gothic" w:hAnsiTheme="majorBidi" w:cstheme="majorBidi"/>
          <w:bCs/>
          <w:snapToGrid w:val="0"/>
          <w:lang w:eastAsia="ko-KR"/>
        </w:rPr>
        <w:t>component</w:t>
      </w:r>
      <w:r w:rsidR="00BB2BC5" w:rsidRPr="00721519">
        <w:rPr>
          <w:rFonts w:asciiTheme="majorBidi" w:hAnsiTheme="majorBidi" w:cstheme="majorBidi"/>
          <w:lang w:eastAsia="de-DE"/>
        </w:rPr>
        <w:t xml:space="preserve"> of IMT</w:t>
      </w:r>
      <w:r w:rsidR="00BB2BC5" w:rsidRPr="00721519">
        <w:rPr>
          <w:rFonts w:asciiTheme="majorBidi" w:hAnsiTheme="majorBidi" w:cstheme="majorBidi"/>
          <w:lang w:eastAsia="ko-KR"/>
        </w:rPr>
        <w:t xml:space="preserve"> </w:t>
      </w:r>
      <w:r w:rsidR="00BB2BC5" w:rsidRPr="00721519">
        <w:rPr>
          <w:rFonts w:asciiTheme="majorBidi" w:eastAsia="Malgun Gothic" w:hAnsiTheme="majorBidi" w:cstheme="majorBidi"/>
          <w:bCs/>
          <w:snapToGrid w:val="0"/>
          <w:lang w:eastAsia="ko-KR"/>
        </w:rPr>
        <w:t>in the frequency bands 1 980–2 010 MHz and 2 170–2 200 MHz in different countries</w:t>
      </w:r>
      <w:r w:rsidR="00BB2BC5">
        <w:rPr>
          <w:rFonts w:eastAsiaTheme="minorEastAsia"/>
          <w:lang w:eastAsia="ja-JP"/>
        </w:rPr>
        <w:t>.</w:t>
      </w:r>
    </w:p>
    <w:p w:rsidR="00BB2BC5" w:rsidRPr="00770950" w:rsidRDefault="00BB2BC5" w:rsidP="00770950">
      <w:pPr>
        <w:spacing w:before="120"/>
        <w:jc w:val="both"/>
      </w:pPr>
      <w:r w:rsidRPr="00770950">
        <w:rPr>
          <w:rFonts w:eastAsiaTheme="minorEastAsia"/>
          <w:lang w:eastAsia="ja-JP"/>
        </w:rPr>
        <w:t xml:space="preserve">APT members are of the view that </w:t>
      </w:r>
      <w:r w:rsidRPr="00770950">
        <w:rPr>
          <w:rFonts w:eastAsiaTheme="minorEastAsia" w:hint="eastAsia"/>
          <w:lang w:eastAsia="ja-JP"/>
        </w:rPr>
        <w:t xml:space="preserve">these </w:t>
      </w:r>
      <w:r w:rsidRPr="00770950">
        <w:rPr>
          <w:rFonts w:eastAsiaTheme="minorEastAsia"/>
          <w:lang w:eastAsia="ja-JP"/>
        </w:rPr>
        <w:t xml:space="preserve">measures should be carefully studied </w:t>
      </w:r>
      <w:r w:rsidRPr="00770950">
        <w:rPr>
          <w:rFonts w:eastAsiaTheme="minorEastAsia" w:hint="eastAsia"/>
          <w:lang w:eastAsia="ja-JP"/>
        </w:rPr>
        <w:t xml:space="preserve">in order </w:t>
      </w:r>
      <w:r w:rsidRPr="00770950">
        <w:rPr>
          <w:rFonts w:eastAsiaTheme="minorEastAsia"/>
          <w:lang w:eastAsia="ja-JP"/>
        </w:rPr>
        <w:t xml:space="preserve">to provide flexible and implementable solutions by taking into account actual and realistic system characteristics/conditions rather than </w:t>
      </w:r>
      <w:r w:rsidRPr="00770950">
        <w:rPr>
          <w:rFonts w:eastAsiaTheme="minorEastAsia" w:hint="eastAsia"/>
          <w:lang w:eastAsia="ja-JP"/>
        </w:rPr>
        <w:t xml:space="preserve">the </w:t>
      </w:r>
      <w:r w:rsidRPr="00770950">
        <w:rPr>
          <w:rFonts w:eastAsiaTheme="minorEastAsia"/>
          <w:lang w:eastAsia="ja-JP"/>
        </w:rPr>
        <w:t>worst-case characteristics/conditions only. It is important to avoid apply</w:t>
      </w:r>
      <w:r w:rsidRPr="00770950">
        <w:rPr>
          <w:rFonts w:eastAsiaTheme="minorEastAsia" w:hint="eastAsia"/>
          <w:lang w:eastAsia="ja-JP"/>
        </w:rPr>
        <w:t>ing</w:t>
      </w:r>
      <w:r w:rsidRPr="00770950">
        <w:rPr>
          <w:rFonts w:eastAsiaTheme="minorEastAsia"/>
          <w:lang w:eastAsia="ja-JP"/>
        </w:rPr>
        <w:t xml:space="preserve"> a unitary solution based on </w:t>
      </w:r>
      <w:r w:rsidRPr="00770950">
        <w:rPr>
          <w:rFonts w:eastAsiaTheme="minorEastAsia" w:hint="eastAsia"/>
          <w:lang w:eastAsia="ja-JP"/>
        </w:rPr>
        <w:t xml:space="preserve">the </w:t>
      </w:r>
      <w:r w:rsidRPr="00770950">
        <w:rPr>
          <w:rFonts w:eastAsiaTheme="minorEastAsia"/>
          <w:lang w:eastAsia="ja-JP"/>
        </w:rPr>
        <w:t xml:space="preserve">worst-case interference conditions, especially to the actual and realistic interference case in which less interference levels </w:t>
      </w:r>
      <w:r w:rsidRPr="00770950">
        <w:rPr>
          <w:rFonts w:eastAsiaTheme="minorEastAsia" w:hint="eastAsia"/>
          <w:lang w:eastAsia="ja-JP"/>
        </w:rPr>
        <w:t xml:space="preserve">could </w:t>
      </w:r>
      <w:r w:rsidRPr="00770950">
        <w:rPr>
          <w:rFonts w:eastAsiaTheme="minorEastAsia"/>
          <w:lang w:eastAsia="ja-JP"/>
        </w:rPr>
        <w:t>be expected.</w:t>
      </w:r>
      <w:r w:rsidR="00DD3CDF" w:rsidRPr="00770950">
        <w:rPr>
          <w:rFonts w:asciiTheme="majorBidi" w:eastAsia="Malgun Gothic" w:hAnsiTheme="majorBidi" w:cstheme="majorBidi"/>
          <w:bCs/>
          <w:snapToGrid w:val="0"/>
          <w:lang w:eastAsia="ko-KR"/>
        </w:rPr>
        <w:t>”</w:t>
      </w:r>
    </w:p>
    <w:p w:rsidR="003B1C84" w:rsidRDefault="003B1C84" w:rsidP="003B1C84">
      <w:pPr>
        <w:spacing w:after="120"/>
        <w:jc w:val="both"/>
        <w:rPr>
          <w:lang w:val="en-NZ"/>
        </w:rPr>
      </w:pPr>
    </w:p>
    <w:p w:rsidR="003B1C84" w:rsidRPr="00337D98" w:rsidRDefault="00337D98" w:rsidP="009A1FC3">
      <w:pPr>
        <w:pStyle w:val="ListParagraph"/>
        <w:numPr>
          <w:ilvl w:val="2"/>
          <w:numId w:val="31"/>
        </w:numPr>
        <w:spacing w:after="120"/>
        <w:ind w:left="720"/>
        <w:jc w:val="both"/>
        <w:rPr>
          <w:b/>
          <w:lang w:val="en-NZ" w:eastAsia="ko-KR"/>
        </w:rPr>
      </w:pPr>
      <w:r w:rsidRPr="00337D98">
        <w:rPr>
          <w:b/>
          <w:lang w:val="en-NZ" w:eastAsia="ko-KR"/>
        </w:rPr>
        <w:t>Singapore and Thailand</w:t>
      </w:r>
      <w:r w:rsidR="00FD6B39">
        <w:rPr>
          <w:b/>
          <w:lang w:val="en-NZ" w:eastAsia="ko-KR"/>
        </w:rPr>
        <w:t xml:space="preserve"> -</w:t>
      </w:r>
      <w:r w:rsidR="00C76FAD" w:rsidRPr="00C76FAD">
        <w:rPr>
          <w:b/>
          <w:lang w:val="en-NZ" w:eastAsia="ko-KR"/>
        </w:rPr>
        <w:t xml:space="preserve"> </w:t>
      </w:r>
      <w:r w:rsidR="00C76FAD">
        <w:rPr>
          <w:b/>
          <w:lang w:val="en-NZ" w:eastAsia="ko-KR"/>
        </w:rPr>
        <w:t>Document</w:t>
      </w:r>
      <w:r w:rsidR="00FD6B39">
        <w:rPr>
          <w:b/>
          <w:lang w:val="en-NZ" w:eastAsia="ko-KR"/>
        </w:rPr>
        <w:t xml:space="preserve"> </w:t>
      </w:r>
      <w:hyperlink r:id="rId28" w:history="1">
        <w:r w:rsidR="00C76FAD">
          <w:rPr>
            <w:rStyle w:val="Hyperlink"/>
            <w:lang w:eastAsia="ko-KR"/>
          </w:rPr>
          <w:t>APG19-3/I</w:t>
        </w:r>
        <w:r w:rsidR="00FD6B39" w:rsidRPr="0076668D">
          <w:rPr>
            <w:rStyle w:val="Hyperlink"/>
            <w:lang w:eastAsia="ko-KR"/>
          </w:rPr>
          <w:t>NP-70</w:t>
        </w:r>
      </w:hyperlink>
    </w:p>
    <w:p w:rsidR="00511D7E" w:rsidRPr="00887A20" w:rsidRDefault="00511D7E" w:rsidP="00483536">
      <w:pPr>
        <w:jc w:val="both"/>
        <w:rPr>
          <w:lang w:val="en-NZ"/>
        </w:rPr>
      </w:pPr>
      <w:r>
        <w:t xml:space="preserve">Singapore and </w:t>
      </w:r>
      <w:r w:rsidRPr="00887A20">
        <w:t>Thailand support appropriate studies on the technical and operational measures to ensure coexistence and compatibility between the satellite and terrestrial components of IMT</w:t>
      </w:r>
      <w:r>
        <w:t xml:space="preserve"> in the </w:t>
      </w:r>
      <w:r w:rsidRPr="00887A20">
        <w:t>frequency band</w:t>
      </w:r>
      <w:r w:rsidR="00483536">
        <w:t>s 1 980–2 010 MHz and 2 170–</w:t>
      </w:r>
      <w:r w:rsidRPr="00887A20">
        <w:t>2</w:t>
      </w:r>
      <w:r w:rsidR="00483536">
        <w:t> </w:t>
      </w:r>
      <w:r w:rsidRPr="00887A20">
        <w:t>200</w:t>
      </w:r>
      <w:r w:rsidR="00483536">
        <w:t> </w:t>
      </w:r>
      <w:proofErr w:type="spellStart"/>
      <w:r w:rsidRPr="00887A20">
        <w:t>MHz</w:t>
      </w:r>
      <w:r>
        <w:t>.</w:t>
      </w:r>
      <w:proofErr w:type="spellEnd"/>
      <w:r w:rsidRPr="00887A20">
        <w:t xml:space="preserve"> </w:t>
      </w:r>
      <w:r>
        <w:t xml:space="preserve">Interference mitigation measures may be required to ensure that the operation of one service in any particular country </w:t>
      </w:r>
      <w:r w:rsidRPr="00D0782B">
        <w:t>should not constrain the operation of the other service in other countries.</w:t>
      </w:r>
      <w:r>
        <w:t xml:space="preserve"> Studies should also be conducted </w:t>
      </w:r>
      <w:r w:rsidRPr="00887A20">
        <w:t xml:space="preserve">with a view </w:t>
      </w:r>
      <w:r>
        <w:t>of</w:t>
      </w:r>
      <w:r w:rsidRPr="00887A20">
        <w:t xml:space="preserve"> protecting terrestrial IMT </w:t>
      </w:r>
      <w:r>
        <w:t xml:space="preserve">systems </w:t>
      </w:r>
      <w:r w:rsidRPr="00887A20">
        <w:t xml:space="preserve">operating in the </w:t>
      </w:r>
      <w:r>
        <w:t xml:space="preserve">adjacent </w:t>
      </w:r>
      <w:r w:rsidRPr="00887A20">
        <w:t>frequency bands 1</w:t>
      </w:r>
      <w:r w:rsidR="00483536">
        <w:t> </w:t>
      </w:r>
      <w:r w:rsidRPr="00887A20">
        <w:t>920–1</w:t>
      </w:r>
      <w:r w:rsidR="00483536">
        <w:t> </w:t>
      </w:r>
      <w:r w:rsidRPr="00887A20">
        <w:t>980</w:t>
      </w:r>
      <w:r w:rsidR="00483536">
        <w:t> </w:t>
      </w:r>
      <w:r w:rsidRPr="00887A20">
        <w:t>MHz and 2</w:t>
      </w:r>
      <w:r w:rsidR="00483536">
        <w:t> </w:t>
      </w:r>
      <w:r w:rsidRPr="00887A20">
        <w:t>110–2</w:t>
      </w:r>
      <w:r w:rsidR="00483536">
        <w:t> </w:t>
      </w:r>
      <w:r w:rsidRPr="00887A20">
        <w:t>170</w:t>
      </w:r>
      <w:r w:rsidR="00483536">
        <w:t> </w:t>
      </w:r>
      <w:proofErr w:type="spellStart"/>
      <w:r w:rsidRPr="00887A20">
        <w:t>MH</w:t>
      </w:r>
      <w:r w:rsidR="00DD3CDF">
        <w:t>z.</w:t>
      </w:r>
      <w:proofErr w:type="spellEnd"/>
    </w:p>
    <w:p w:rsidR="0049163E" w:rsidRDefault="0049163E" w:rsidP="003B1C84">
      <w:pPr>
        <w:spacing w:after="120"/>
        <w:jc w:val="both"/>
        <w:rPr>
          <w:lang w:val="en-NZ"/>
        </w:rPr>
      </w:pPr>
    </w:p>
    <w:p w:rsidR="00AB171E" w:rsidRPr="00E82A2D" w:rsidRDefault="00504D29" w:rsidP="009A1FC3">
      <w:pPr>
        <w:pStyle w:val="ListParagraph"/>
        <w:numPr>
          <w:ilvl w:val="2"/>
          <w:numId w:val="31"/>
        </w:numPr>
        <w:spacing w:after="120"/>
        <w:ind w:left="720"/>
        <w:jc w:val="both"/>
        <w:rPr>
          <w:b/>
          <w:lang w:val="en-NZ" w:eastAsia="ko-KR"/>
        </w:rPr>
      </w:pPr>
      <w:r w:rsidRPr="00E82A2D">
        <w:rPr>
          <w:b/>
          <w:lang w:val="en-NZ" w:eastAsia="ko-KR"/>
        </w:rPr>
        <w:t xml:space="preserve">Indonesia (Republic of) – Document </w:t>
      </w:r>
      <w:hyperlink r:id="rId29" w:history="1">
        <w:r w:rsidRPr="00E82A2D">
          <w:rPr>
            <w:rStyle w:val="Hyperlink"/>
            <w:b/>
            <w:lang w:eastAsia="ko-KR"/>
          </w:rPr>
          <w:t>APG19-3/INP-79</w:t>
        </w:r>
      </w:hyperlink>
    </w:p>
    <w:p w:rsidR="00337D98" w:rsidRDefault="00FD6CC8" w:rsidP="00770950">
      <w:pPr>
        <w:spacing w:after="120"/>
        <w:jc w:val="both"/>
      </w:pPr>
      <w:r w:rsidRPr="007E18F9">
        <w:t>Indonesia is of the view to follow the progress studies in ITU Study Group and support the compatibility studies for the frequency band which is potentially shared by IMT terrestrial component (mobile service) and IMT satellite component (mobile satellite service) with neighboring countries in the frequency range 1</w:t>
      </w:r>
      <w:r w:rsidR="00770950">
        <w:t> </w:t>
      </w:r>
      <w:r w:rsidRPr="007E18F9">
        <w:t>980−2</w:t>
      </w:r>
      <w:r w:rsidR="00770950">
        <w:t> </w:t>
      </w:r>
      <w:r w:rsidRPr="007E18F9">
        <w:t>010</w:t>
      </w:r>
      <w:r w:rsidR="00770950">
        <w:t> </w:t>
      </w:r>
      <w:r w:rsidRPr="007E18F9">
        <w:t>MHz and 2</w:t>
      </w:r>
      <w:r w:rsidR="00770950">
        <w:t> </w:t>
      </w:r>
      <w:r w:rsidRPr="007E18F9">
        <w:t>170−2</w:t>
      </w:r>
      <w:r w:rsidR="00770950">
        <w:t> </w:t>
      </w:r>
      <w:r w:rsidRPr="007E18F9">
        <w:t>200</w:t>
      </w:r>
      <w:r w:rsidR="00770950">
        <w:t> </w:t>
      </w:r>
      <w:proofErr w:type="spellStart"/>
      <w:r w:rsidRPr="007E18F9">
        <w:t>MHz.</w:t>
      </w:r>
      <w:proofErr w:type="spellEnd"/>
    </w:p>
    <w:p w:rsidR="00FD6CC8" w:rsidRDefault="00FD6CC8" w:rsidP="003B1C84">
      <w:pPr>
        <w:spacing w:after="120"/>
        <w:jc w:val="both"/>
      </w:pPr>
    </w:p>
    <w:p w:rsidR="00FD6CC8" w:rsidRPr="00E82A2D" w:rsidRDefault="00B27603" w:rsidP="009A1FC3">
      <w:pPr>
        <w:pStyle w:val="ListParagraph"/>
        <w:numPr>
          <w:ilvl w:val="2"/>
          <w:numId w:val="31"/>
        </w:numPr>
        <w:spacing w:after="120"/>
        <w:ind w:left="720"/>
        <w:jc w:val="both"/>
        <w:rPr>
          <w:b/>
          <w:color w:val="548DD4" w:themeColor="text2" w:themeTint="99"/>
          <w:u w:val="single"/>
          <w:lang w:val="en-NZ" w:eastAsia="ko-KR"/>
        </w:rPr>
      </w:pPr>
      <w:r w:rsidRPr="00B27603">
        <w:rPr>
          <w:b/>
          <w:lang w:val="en-NZ" w:eastAsia="ko-KR"/>
        </w:rPr>
        <w:t>Viet Nam</w:t>
      </w:r>
      <w:r w:rsidR="00187E2E">
        <w:rPr>
          <w:b/>
          <w:lang w:val="en-NZ" w:eastAsia="ko-KR"/>
        </w:rPr>
        <w:t xml:space="preserve"> (</w:t>
      </w:r>
      <w:r w:rsidR="006F3E8C" w:rsidRPr="00B27603">
        <w:rPr>
          <w:b/>
          <w:lang w:val="en-NZ" w:eastAsia="ko-KR"/>
        </w:rPr>
        <w:t>Socialist Republic of</w:t>
      </w:r>
      <w:r w:rsidR="00187E2E">
        <w:rPr>
          <w:b/>
          <w:lang w:val="en-NZ" w:eastAsia="ko-KR"/>
        </w:rPr>
        <w:t>)</w:t>
      </w:r>
      <w:r w:rsidR="006F3E8C" w:rsidRPr="00B27603">
        <w:rPr>
          <w:b/>
          <w:lang w:val="en-NZ" w:eastAsia="ko-KR"/>
        </w:rPr>
        <w:t xml:space="preserve"> </w:t>
      </w:r>
      <w:r w:rsidRPr="00B27603">
        <w:rPr>
          <w:b/>
          <w:lang w:val="en-NZ" w:eastAsia="ko-KR"/>
        </w:rPr>
        <w:t xml:space="preserve">– </w:t>
      </w:r>
      <w:r>
        <w:rPr>
          <w:b/>
          <w:lang w:val="en-NZ" w:eastAsia="ko-KR"/>
        </w:rPr>
        <w:t xml:space="preserve">Document </w:t>
      </w:r>
      <w:hyperlink r:id="rId30" w:history="1">
        <w:r w:rsidRPr="00E82A2D">
          <w:rPr>
            <w:b/>
            <w:color w:val="0000FF"/>
            <w:u w:val="single"/>
            <w:lang w:val="en-NZ"/>
          </w:rPr>
          <w:t>APG19-3/I</w:t>
        </w:r>
        <w:r w:rsidRPr="00E82A2D">
          <w:rPr>
            <w:b/>
            <w:color w:val="0000FF"/>
            <w:u w:val="single"/>
            <w:lang w:val="en-NZ" w:eastAsia="ko-KR"/>
          </w:rPr>
          <w:t>NP-83</w:t>
        </w:r>
      </w:hyperlink>
    </w:p>
    <w:p w:rsidR="00B27603" w:rsidRDefault="007E3D23" w:rsidP="00483536">
      <w:pPr>
        <w:jc w:val="both"/>
        <w:rPr>
          <w:rFonts w:eastAsiaTheme="minorHAnsi"/>
        </w:rPr>
      </w:pPr>
      <w:r>
        <w:t>Viet Nam</w:t>
      </w:r>
      <w:r w:rsidR="00652F36">
        <w:t xml:space="preserve"> (</w:t>
      </w:r>
      <w:r w:rsidR="006F3E8C" w:rsidRPr="00A519B0">
        <w:t>Socialist Republic of</w:t>
      </w:r>
      <w:r w:rsidR="00652F36">
        <w:t>)</w:t>
      </w:r>
      <w:r w:rsidR="006F3E8C" w:rsidRPr="00A519B0">
        <w:t xml:space="preserve"> </w:t>
      </w:r>
      <w:r>
        <w:t xml:space="preserve">is of the view </w:t>
      </w:r>
      <w:r w:rsidR="00770950">
        <w:t xml:space="preserve">to </w:t>
      </w:r>
      <w:r w:rsidRPr="00AA1FB0">
        <w:rPr>
          <w:rFonts w:eastAsiaTheme="minorHAnsi"/>
        </w:rPr>
        <w:t>support appropriate studies on the technical and operational measures to ensure coexistence and compatibility between the satellite and terrestrial components of IMT with a view to protecting terrestrial IMT operating in the frequency bands 1</w:t>
      </w:r>
      <w:r w:rsidR="00770950">
        <w:rPr>
          <w:rFonts w:eastAsiaTheme="minorHAnsi"/>
        </w:rPr>
        <w:t> </w:t>
      </w:r>
      <w:r w:rsidRPr="00AA1FB0">
        <w:rPr>
          <w:rFonts w:eastAsiaTheme="minorHAnsi"/>
        </w:rPr>
        <w:t>920 – 1</w:t>
      </w:r>
      <w:r w:rsidR="00770950">
        <w:rPr>
          <w:rFonts w:eastAsiaTheme="minorHAnsi"/>
        </w:rPr>
        <w:t> </w:t>
      </w:r>
      <w:r w:rsidRPr="00AA1FB0">
        <w:rPr>
          <w:rFonts w:eastAsiaTheme="minorHAnsi"/>
        </w:rPr>
        <w:t>980</w:t>
      </w:r>
      <w:r w:rsidR="00483536">
        <w:rPr>
          <w:rFonts w:eastAsiaTheme="minorHAnsi"/>
        </w:rPr>
        <w:t> </w:t>
      </w:r>
      <w:r w:rsidRPr="00AA1FB0">
        <w:rPr>
          <w:rFonts w:eastAsiaTheme="minorHAnsi"/>
        </w:rPr>
        <w:t>MHz and 2</w:t>
      </w:r>
      <w:r w:rsidR="00770950">
        <w:rPr>
          <w:rFonts w:eastAsiaTheme="minorHAnsi"/>
        </w:rPr>
        <w:t> </w:t>
      </w:r>
      <w:r w:rsidRPr="00AA1FB0">
        <w:rPr>
          <w:rFonts w:eastAsiaTheme="minorHAnsi"/>
        </w:rPr>
        <w:t>110–2</w:t>
      </w:r>
      <w:r w:rsidR="00770950">
        <w:rPr>
          <w:rFonts w:eastAsiaTheme="minorHAnsi"/>
        </w:rPr>
        <w:t> </w:t>
      </w:r>
      <w:r w:rsidRPr="00AA1FB0">
        <w:rPr>
          <w:rFonts w:eastAsiaTheme="minorHAnsi"/>
        </w:rPr>
        <w:t>170</w:t>
      </w:r>
      <w:r w:rsidR="00483536">
        <w:rPr>
          <w:rFonts w:eastAsiaTheme="minorHAnsi"/>
        </w:rPr>
        <w:t> </w:t>
      </w:r>
      <w:proofErr w:type="spellStart"/>
      <w:r w:rsidRPr="00AA1FB0">
        <w:rPr>
          <w:rFonts w:eastAsiaTheme="minorHAnsi"/>
        </w:rPr>
        <w:t>MHz.</w:t>
      </w:r>
      <w:proofErr w:type="spellEnd"/>
    </w:p>
    <w:p w:rsidR="007E3D23" w:rsidRPr="00FE6D2D" w:rsidRDefault="00FB4C88" w:rsidP="009A1FC3">
      <w:pPr>
        <w:pStyle w:val="ListParagraph"/>
        <w:numPr>
          <w:ilvl w:val="2"/>
          <w:numId w:val="31"/>
        </w:numPr>
        <w:spacing w:after="120"/>
        <w:ind w:left="720"/>
        <w:jc w:val="both"/>
        <w:rPr>
          <w:b/>
          <w:bCs/>
          <w:lang w:val="en-NZ"/>
        </w:rPr>
      </w:pPr>
      <w:r w:rsidRPr="00FE6D2D">
        <w:rPr>
          <w:b/>
          <w:bCs/>
          <w:lang w:val="en-NZ"/>
        </w:rPr>
        <w:lastRenderedPageBreak/>
        <w:t xml:space="preserve">China </w:t>
      </w:r>
      <w:r w:rsidR="00FE6D2D" w:rsidRPr="000604C4">
        <w:rPr>
          <w:rFonts w:eastAsia="SimSun" w:hint="eastAsia"/>
          <w:b/>
          <w:lang w:eastAsia="zh-CN"/>
        </w:rPr>
        <w:t>(People</w:t>
      </w:r>
      <w:r w:rsidR="00FE6D2D" w:rsidRPr="000604C4">
        <w:rPr>
          <w:rFonts w:eastAsia="SimSun"/>
          <w:b/>
          <w:lang w:eastAsia="zh-CN"/>
        </w:rPr>
        <w:t>’</w:t>
      </w:r>
      <w:r w:rsidR="00FE6D2D" w:rsidRPr="000604C4">
        <w:rPr>
          <w:rFonts w:eastAsia="SimSun" w:hint="eastAsia"/>
          <w:b/>
          <w:lang w:eastAsia="zh-CN"/>
        </w:rPr>
        <w:t>s Republic of)</w:t>
      </w:r>
      <w:r w:rsidR="00FE6D2D">
        <w:rPr>
          <w:rFonts w:eastAsia="SimSun"/>
          <w:b/>
          <w:lang w:eastAsia="zh-CN"/>
        </w:rPr>
        <w:t xml:space="preserve"> </w:t>
      </w:r>
      <w:r w:rsidRPr="00FE6D2D">
        <w:rPr>
          <w:b/>
          <w:bCs/>
          <w:lang w:val="en-NZ" w:eastAsia="ko-KR"/>
        </w:rPr>
        <w:t xml:space="preserve">– Document </w:t>
      </w:r>
      <w:hyperlink r:id="rId31" w:history="1">
        <w:r w:rsidRPr="00FE6D2D">
          <w:rPr>
            <w:rStyle w:val="Hyperlink"/>
            <w:b/>
            <w:bCs/>
            <w:lang w:eastAsia="ko-KR"/>
          </w:rPr>
          <w:t>APG19-3/INP-87</w:t>
        </w:r>
      </w:hyperlink>
    </w:p>
    <w:p w:rsidR="00FE6D2D" w:rsidRDefault="00FE6D2D" w:rsidP="00770950">
      <w:pPr>
        <w:spacing w:afterLines="50" w:after="120"/>
        <w:jc w:val="both"/>
        <w:rPr>
          <w:rFonts w:eastAsia="Malgun Gothic"/>
          <w:bCs/>
          <w:snapToGrid w:val="0"/>
          <w:lang w:eastAsia="ko-KR"/>
        </w:rPr>
      </w:pPr>
      <w:r>
        <w:rPr>
          <w:rFonts w:eastAsia="Malgun Gothic"/>
          <w:bCs/>
          <w:snapToGrid w:val="0"/>
          <w:lang w:eastAsia="ko-KR"/>
        </w:rPr>
        <w:t xml:space="preserve">The People’s Republic of China </w:t>
      </w:r>
      <w:r>
        <w:rPr>
          <w:rFonts w:eastAsia="Malgun Gothic" w:hint="eastAsia"/>
          <w:bCs/>
          <w:snapToGrid w:val="0"/>
          <w:lang w:eastAsia="ko-KR"/>
        </w:rPr>
        <w:t xml:space="preserve">supports to conduct ITU-R studies on </w:t>
      </w:r>
      <w:r>
        <w:t>possible technical and operational measures to ensure coexistence and compatibility between the terrestrial component of IMT and the satellite component of IMT</w:t>
      </w:r>
      <w:r>
        <w:rPr>
          <w:rFonts w:hint="eastAsia"/>
          <w:lang w:eastAsia="ko-KR"/>
        </w:rPr>
        <w:t xml:space="preserve"> </w:t>
      </w:r>
      <w:r>
        <w:rPr>
          <w:rFonts w:eastAsia="Malgun Gothic"/>
          <w:bCs/>
          <w:snapToGrid w:val="0"/>
          <w:lang w:eastAsia="ko-KR"/>
        </w:rPr>
        <w:t>in the frequency bands 1</w:t>
      </w:r>
      <w:r w:rsidR="00770950">
        <w:rPr>
          <w:rFonts w:eastAsia="Malgun Gothic"/>
          <w:bCs/>
          <w:snapToGrid w:val="0"/>
          <w:lang w:eastAsia="ko-KR"/>
        </w:rPr>
        <w:t> </w:t>
      </w:r>
      <w:r>
        <w:rPr>
          <w:rFonts w:eastAsia="Malgun Gothic"/>
          <w:bCs/>
          <w:snapToGrid w:val="0"/>
          <w:lang w:eastAsia="ko-KR"/>
        </w:rPr>
        <w:t>980–2</w:t>
      </w:r>
      <w:r w:rsidR="00770950">
        <w:rPr>
          <w:rFonts w:eastAsia="Malgun Gothic"/>
          <w:bCs/>
          <w:snapToGrid w:val="0"/>
          <w:lang w:eastAsia="ko-KR"/>
        </w:rPr>
        <w:t> </w:t>
      </w:r>
      <w:r>
        <w:rPr>
          <w:rFonts w:eastAsia="Malgun Gothic"/>
          <w:bCs/>
          <w:snapToGrid w:val="0"/>
          <w:lang w:eastAsia="ko-KR"/>
        </w:rPr>
        <w:t>010</w:t>
      </w:r>
      <w:r w:rsidR="00770950">
        <w:rPr>
          <w:rFonts w:eastAsia="Malgun Gothic"/>
          <w:bCs/>
          <w:snapToGrid w:val="0"/>
          <w:lang w:eastAsia="ko-KR"/>
        </w:rPr>
        <w:t> </w:t>
      </w:r>
      <w:r>
        <w:rPr>
          <w:rFonts w:eastAsia="Malgun Gothic"/>
          <w:bCs/>
          <w:snapToGrid w:val="0"/>
          <w:lang w:eastAsia="ko-KR"/>
        </w:rPr>
        <w:t>MHz and 2</w:t>
      </w:r>
      <w:r w:rsidR="00770950">
        <w:rPr>
          <w:rFonts w:eastAsia="Malgun Gothic"/>
          <w:bCs/>
          <w:snapToGrid w:val="0"/>
          <w:lang w:eastAsia="ko-KR"/>
        </w:rPr>
        <w:t> </w:t>
      </w:r>
      <w:r>
        <w:rPr>
          <w:rFonts w:eastAsia="Malgun Gothic"/>
          <w:bCs/>
          <w:snapToGrid w:val="0"/>
          <w:lang w:eastAsia="ko-KR"/>
        </w:rPr>
        <w:t>170–2</w:t>
      </w:r>
      <w:r w:rsidR="00770950">
        <w:rPr>
          <w:rFonts w:eastAsia="Malgun Gothic"/>
          <w:bCs/>
          <w:snapToGrid w:val="0"/>
          <w:lang w:eastAsia="ko-KR"/>
        </w:rPr>
        <w:t> </w:t>
      </w:r>
      <w:r>
        <w:rPr>
          <w:rFonts w:eastAsia="Malgun Gothic"/>
          <w:bCs/>
          <w:snapToGrid w:val="0"/>
          <w:lang w:eastAsia="ko-KR"/>
        </w:rPr>
        <w:t>200</w:t>
      </w:r>
      <w:r w:rsidR="00770950">
        <w:rPr>
          <w:rFonts w:eastAsia="Malgun Gothic"/>
          <w:bCs/>
          <w:snapToGrid w:val="0"/>
          <w:lang w:eastAsia="ko-KR"/>
        </w:rPr>
        <w:t> </w:t>
      </w:r>
      <w:r>
        <w:rPr>
          <w:rFonts w:eastAsia="Malgun Gothic"/>
          <w:bCs/>
          <w:snapToGrid w:val="0"/>
          <w:lang w:eastAsia="ko-KR"/>
        </w:rPr>
        <w:t>MHz</w:t>
      </w:r>
      <w:r>
        <w:rPr>
          <w:rFonts w:eastAsia="Malgun Gothic" w:hint="eastAsia"/>
          <w:bCs/>
          <w:snapToGrid w:val="0"/>
          <w:lang w:eastAsia="ko-KR"/>
        </w:rPr>
        <w:t xml:space="preserve"> in different countries.</w:t>
      </w:r>
      <w:r>
        <w:rPr>
          <w:rFonts w:eastAsia="Malgun Gothic"/>
          <w:bCs/>
          <w:snapToGrid w:val="0"/>
          <w:lang w:eastAsia="ko-KR"/>
        </w:rPr>
        <w:t xml:space="preserve"> To </w:t>
      </w:r>
      <w:r>
        <w:t xml:space="preserve">ensure co-existence and </w:t>
      </w:r>
      <w:r>
        <w:rPr>
          <w:rFonts w:eastAsia="Malgun Gothic"/>
          <w:bCs/>
          <w:snapToGrid w:val="0"/>
          <w:lang w:eastAsia="ko-KR"/>
        </w:rPr>
        <w:t xml:space="preserve">facilitate the global development </w:t>
      </w:r>
      <w:r>
        <w:t>of both satellite and terrestrial components of IMT</w:t>
      </w:r>
      <w:r>
        <w:rPr>
          <w:rFonts w:eastAsia="Malgun Gothic"/>
          <w:bCs/>
          <w:snapToGrid w:val="0"/>
          <w:lang w:eastAsia="ko-KR"/>
        </w:rPr>
        <w:t xml:space="preserve">, </w:t>
      </w:r>
      <w:r>
        <w:t xml:space="preserve">according to preliminary study results of ITU-R, </w:t>
      </w:r>
      <w:r>
        <w:rPr>
          <w:rFonts w:eastAsia="Malgun Gothic"/>
          <w:bCs/>
          <w:snapToGrid w:val="0"/>
          <w:lang w:eastAsia="ko-KR"/>
        </w:rPr>
        <w:t>China currently makes the following views:</w:t>
      </w:r>
    </w:p>
    <w:p w:rsidR="00FE6D2D" w:rsidRDefault="00FE6D2D" w:rsidP="004F01B1">
      <w:pPr>
        <w:pStyle w:val="ListParagraph2"/>
        <w:numPr>
          <w:ilvl w:val="0"/>
          <w:numId w:val="26"/>
        </w:numPr>
        <w:spacing w:afterLines="50" w:after="120" w:line="240" w:lineRule="auto"/>
        <w:ind w:firstLineChars="0"/>
        <w:jc w:val="both"/>
      </w:pPr>
      <w:r>
        <w:rPr>
          <w:rFonts w:eastAsia="SimSun"/>
          <w:lang w:eastAsia="zh-CN"/>
        </w:rPr>
        <w:t>P</w:t>
      </w:r>
      <w:r>
        <w:rPr>
          <w:rFonts w:eastAsia="SimSun" w:hint="eastAsia"/>
          <w:lang w:eastAsia="zh-CN"/>
        </w:rPr>
        <w:t xml:space="preserve">reliminary </w:t>
      </w:r>
      <w:r>
        <w:rPr>
          <w:rFonts w:eastAsia="SimSun"/>
          <w:lang w:eastAsia="zh-CN"/>
        </w:rPr>
        <w:t>results of sharing study show that potential harmful interference would occur from terrestrial IMT BSs into satellites in the band 1</w:t>
      </w:r>
      <w:r w:rsidR="008521E5">
        <w:rPr>
          <w:rFonts w:eastAsia="SimSun"/>
          <w:lang w:eastAsia="zh-CN"/>
        </w:rPr>
        <w:t> </w:t>
      </w:r>
      <w:r>
        <w:rPr>
          <w:rFonts w:eastAsia="SimSun"/>
          <w:lang w:eastAsia="zh-CN"/>
        </w:rPr>
        <w:t>980-2</w:t>
      </w:r>
      <w:r w:rsidR="008521E5">
        <w:rPr>
          <w:rFonts w:eastAsia="SimSun"/>
          <w:lang w:eastAsia="zh-CN"/>
        </w:rPr>
        <w:t> </w:t>
      </w:r>
      <w:r>
        <w:rPr>
          <w:rFonts w:eastAsia="SimSun"/>
          <w:lang w:eastAsia="zh-CN"/>
        </w:rPr>
        <w:t>010</w:t>
      </w:r>
      <w:r w:rsidR="00483536">
        <w:rPr>
          <w:rFonts w:eastAsia="SimSun"/>
          <w:lang w:eastAsia="zh-CN"/>
        </w:rPr>
        <w:t> </w:t>
      </w:r>
      <w:r>
        <w:rPr>
          <w:rFonts w:eastAsia="SimSun"/>
          <w:lang w:eastAsia="zh-CN"/>
        </w:rPr>
        <w:t>MHz and also from satellites into terrestrial IMT UEs in the band 2</w:t>
      </w:r>
      <w:r w:rsidR="00770950">
        <w:rPr>
          <w:rFonts w:eastAsia="SimSun"/>
          <w:lang w:eastAsia="zh-CN"/>
        </w:rPr>
        <w:t> </w:t>
      </w:r>
      <w:r>
        <w:rPr>
          <w:rFonts w:eastAsia="SimSun"/>
          <w:lang w:eastAsia="zh-CN"/>
        </w:rPr>
        <w:t>170</w:t>
      </w:r>
      <w:r w:rsidR="00483536">
        <w:rPr>
          <w:rFonts w:eastAsia="SimSun"/>
          <w:lang w:eastAsia="zh-CN"/>
        </w:rPr>
        <w:t>–</w:t>
      </w:r>
      <w:r>
        <w:rPr>
          <w:rFonts w:eastAsia="SimSun"/>
          <w:lang w:eastAsia="zh-CN"/>
        </w:rPr>
        <w:t>2</w:t>
      </w:r>
      <w:r w:rsidR="00770950">
        <w:rPr>
          <w:rFonts w:eastAsia="SimSun"/>
          <w:lang w:eastAsia="zh-CN"/>
        </w:rPr>
        <w:t> </w:t>
      </w:r>
      <w:r>
        <w:rPr>
          <w:rFonts w:eastAsia="SimSun"/>
          <w:lang w:eastAsia="zh-CN"/>
        </w:rPr>
        <w:t>200</w:t>
      </w:r>
      <w:r w:rsidR="00483536">
        <w:rPr>
          <w:rFonts w:eastAsia="SimSun"/>
          <w:lang w:eastAsia="zh-CN"/>
        </w:rPr>
        <w:t> </w:t>
      </w:r>
      <w:proofErr w:type="spellStart"/>
      <w:r>
        <w:rPr>
          <w:rFonts w:eastAsia="SimSun"/>
          <w:lang w:eastAsia="zh-CN"/>
        </w:rPr>
        <w:t>MHz.</w:t>
      </w:r>
      <w:proofErr w:type="spellEnd"/>
      <w:r>
        <w:rPr>
          <w:rFonts w:eastAsia="SimSun"/>
          <w:lang w:eastAsia="zh-CN"/>
        </w:rPr>
        <w:t xml:space="preserve"> </w:t>
      </w:r>
      <w:r>
        <w:t>Therefore, it shall be taken measures by both terrestrial IMT and satellite IMT systems to ensure coexistence and compatibility.</w:t>
      </w:r>
    </w:p>
    <w:p w:rsidR="00FE6D2D" w:rsidRDefault="00FE6D2D" w:rsidP="004F01B1">
      <w:pPr>
        <w:pStyle w:val="ListParagraph2"/>
        <w:numPr>
          <w:ilvl w:val="0"/>
          <w:numId w:val="26"/>
        </w:numPr>
        <w:spacing w:afterLines="50" w:after="120" w:line="240" w:lineRule="auto"/>
        <w:ind w:firstLineChars="0"/>
        <w:jc w:val="both"/>
      </w:pPr>
      <w:r>
        <w:rPr>
          <w:rFonts w:hint="eastAsia"/>
        </w:rPr>
        <w:t xml:space="preserve">For </w:t>
      </w:r>
      <w:r>
        <w:t xml:space="preserve">mitigation </w:t>
      </w:r>
      <w:r w:rsidRPr="004F01B1">
        <w:rPr>
          <w:rFonts w:eastAsia="SimSun"/>
          <w:lang w:eastAsia="zh-CN"/>
        </w:rPr>
        <w:t>measures</w:t>
      </w:r>
      <w:r>
        <w:t xml:space="preserve"> to avoid the potential harmful interference from terrestrial IMT BSs into satellite IMT in the band 1</w:t>
      </w:r>
      <w:r w:rsidR="00770950">
        <w:t> </w:t>
      </w:r>
      <w:r>
        <w:t>980-2</w:t>
      </w:r>
      <w:r w:rsidR="00770950">
        <w:t> </w:t>
      </w:r>
      <w:r>
        <w:t>010</w:t>
      </w:r>
      <w:r w:rsidR="00483536">
        <w:t> </w:t>
      </w:r>
      <w:r>
        <w:t>MHz, it is proposed for terrestrial IMT being considered for deployment to avoid using the certain paired frequency arrangements which are partly overlapped with the band 1</w:t>
      </w:r>
      <w:r w:rsidR="00770950">
        <w:t> </w:t>
      </w:r>
      <w:r>
        <w:t>980-2</w:t>
      </w:r>
      <w:r w:rsidR="00770950">
        <w:t> </w:t>
      </w:r>
      <w:r>
        <w:t xml:space="preserve">010 MHz for terrestrial IMT BSs in the Recommendation </w:t>
      </w:r>
      <w:r w:rsidRPr="00770950">
        <w:rPr>
          <w:b/>
          <w:bCs/>
        </w:rPr>
        <w:t>M.1036</w:t>
      </w:r>
      <w:r>
        <w:t>.</w:t>
      </w:r>
    </w:p>
    <w:p w:rsidR="00FE6D2D" w:rsidRDefault="00FE6D2D" w:rsidP="004F01B1">
      <w:pPr>
        <w:pStyle w:val="ListParagraph2"/>
        <w:numPr>
          <w:ilvl w:val="0"/>
          <w:numId w:val="26"/>
        </w:numPr>
        <w:spacing w:afterLines="50" w:after="120" w:line="240" w:lineRule="auto"/>
        <w:ind w:firstLineChars="0"/>
        <w:jc w:val="both"/>
      </w:pPr>
      <w:r>
        <w:rPr>
          <w:rFonts w:hint="eastAsia"/>
        </w:rPr>
        <w:t xml:space="preserve">For </w:t>
      </w:r>
      <w:r>
        <w:t>mitigation measures to avoid the potential harmful interference from terrestrial IMT BSs into satellite IMT in the band 1</w:t>
      </w:r>
      <w:r w:rsidR="00770950">
        <w:t> </w:t>
      </w:r>
      <w:r>
        <w:t>980-2</w:t>
      </w:r>
      <w:r w:rsidR="00770950">
        <w:t> </w:t>
      </w:r>
      <w:r>
        <w:t>010</w:t>
      </w:r>
      <w:r w:rsidR="00483536">
        <w:t> </w:t>
      </w:r>
      <w:r>
        <w:t>MHz</w:t>
      </w:r>
      <w:r>
        <w:rPr>
          <w:rFonts w:eastAsia="SimSun"/>
          <w:lang w:eastAsia="zh-CN"/>
        </w:rPr>
        <w:t xml:space="preserve">, </w:t>
      </w:r>
      <w:r>
        <w:t>it is proposed for satellite IMT being considered for deployment to use higher direction satellite beam coupled with digital beam-forming, which would reduce the  impact of satellite IMT from terrestrial IMT deployed in the neighboring countries.</w:t>
      </w:r>
    </w:p>
    <w:p w:rsidR="00FE6D2D" w:rsidRDefault="00FE6D2D" w:rsidP="004F01B1">
      <w:pPr>
        <w:pStyle w:val="ListParagraph2"/>
        <w:numPr>
          <w:ilvl w:val="0"/>
          <w:numId w:val="26"/>
        </w:numPr>
        <w:spacing w:afterLines="50" w:after="120" w:line="240" w:lineRule="auto"/>
        <w:ind w:firstLineChars="0"/>
        <w:jc w:val="both"/>
        <w:rPr>
          <w:rFonts w:eastAsia="SimSun"/>
          <w:lang w:eastAsia="zh-CN"/>
        </w:rPr>
      </w:pPr>
      <w:r>
        <w:rPr>
          <w:rFonts w:eastAsia="SimSun"/>
          <w:lang w:eastAsia="zh-CN"/>
        </w:rPr>
        <w:t xml:space="preserve">Potential </w:t>
      </w:r>
      <w:r w:rsidRPr="004F01B1">
        <w:t>interference</w:t>
      </w:r>
      <w:r>
        <w:rPr>
          <w:rFonts w:eastAsia="SimSun"/>
          <w:lang w:eastAsia="zh-CN"/>
        </w:rPr>
        <w:t xml:space="preserve"> between terrestrial IMT BS or UE and satellite MES can be managed by the current cross-border coordination provisions in the </w:t>
      </w:r>
      <w:r w:rsidR="008521E5">
        <w:rPr>
          <w:rFonts w:eastAsia="SimSun"/>
          <w:lang w:eastAsia="zh-CN"/>
        </w:rPr>
        <w:t xml:space="preserve">ITU </w:t>
      </w:r>
      <w:r>
        <w:rPr>
          <w:rFonts w:eastAsia="SimSun"/>
          <w:lang w:eastAsia="zh-CN"/>
        </w:rPr>
        <w:t>RR. Since actual technical/operational characteristics are expected to be exchanged, such bilateral coordination results can enjoy more flexibility than worst-case compatibility analysis and establish separation distance based on the actual local propagation conditions, including actual terrain and clutter effects.</w:t>
      </w:r>
    </w:p>
    <w:p w:rsidR="00B27603" w:rsidRPr="00FE4D5F" w:rsidRDefault="00FE6D2D" w:rsidP="00015EE9">
      <w:pPr>
        <w:pStyle w:val="ListParagraph2"/>
        <w:numPr>
          <w:ilvl w:val="0"/>
          <w:numId w:val="26"/>
        </w:numPr>
        <w:spacing w:afterLines="50" w:after="120" w:line="240" w:lineRule="auto"/>
        <w:ind w:firstLineChars="0"/>
        <w:jc w:val="both"/>
        <w:rPr>
          <w:lang w:val="en-NZ"/>
        </w:rPr>
      </w:pPr>
      <w:r w:rsidRPr="0016348A">
        <w:rPr>
          <w:rFonts w:eastAsia="SimSun" w:hint="eastAsia"/>
          <w:lang w:eastAsia="zh-CN"/>
        </w:rPr>
        <w:t xml:space="preserve">For </w:t>
      </w:r>
      <w:r w:rsidRPr="0016348A">
        <w:rPr>
          <w:rFonts w:eastAsia="SimSun"/>
          <w:lang w:eastAsia="zh-CN"/>
        </w:rPr>
        <w:t>mitigation the potential downlink interference from the IMT satellites to IMT terrestrial outdoor UEs, it is proposed to establish a new IMT satellite PFD coordination threshold according to the study results of ITU-R to ensure coexistence and compatibility with IMT terrestrial.</w:t>
      </w:r>
    </w:p>
    <w:p w:rsidR="00FE4D5F" w:rsidRPr="0016348A" w:rsidRDefault="00FE4D5F" w:rsidP="00FE4D5F">
      <w:pPr>
        <w:pStyle w:val="ListParagraph2"/>
        <w:spacing w:afterLines="50" w:after="120" w:line="240" w:lineRule="auto"/>
        <w:ind w:left="360" w:firstLineChars="0" w:firstLine="0"/>
        <w:jc w:val="both"/>
        <w:rPr>
          <w:lang w:val="en-NZ"/>
        </w:rPr>
      </w:pPr>
    </w:p>
    <w:p w:rsidR="00A05B16" w:rsidRPr="00A62532" w:rsidRDefault="00A62532" w:rsidP="009A1FC3">
      <w:pPr>
        <w:pStyle w:val="ListParagraph"/>
        <w:numPr>
          <w:ilvl w:val="2"/>
          <w:numId w:val="31"/>
        </w:numPr>
        <w:spacing w:after="120"/>
        <w:ind w:left="720"/>
        <w:jc w:val="both"/>
        <w:rPr>
          <w:b/>
          <w:bCs/>
          <w:lang w:val="en-NZ"/>
        </w:rPr>
      </w:pPr>
      <w:r w:rsidRPr="00A62532">
        <w:rPr>
          <w:b/>
          <w:bCs/>
          <w:lang w:eastAsia="ko-KR"/>
        </w:rPr>
        <w:t>Bangladesh</w:t>
      </w:r>
      <w:r w:rsidRPr="00A62532">
        <w:rPr>
          <w:b/>
          <w:bCs/>
          <w:lang w:val="en-NZ"/>
        </w:rPr>
        <w:t xml:space="preserve"> – </w:t>
      </w:r>
      <w:r w:rsidR="00A05B16" w:rsidRPr="00A62532">
        <w:rPr>
          <w:b/>
          <w:bCs/>
          <w:lang w:val="en-NZ"/>
        </w:rPr>
        <w:t xml:space="preserve">Document </w:t>
      </w:r>
      <w:hyperlink r:id="rId32" w:history="1">
        <w:r w:rsidR="00A05B16" w:rsidRPr="00A62532">
          <w:rPr>
            <w:rStyle w:val="Hyperlink"/>
            <w:b/>
            <w:bCs/>
            <w:lang w:eastAsia="ko-KR"/>
          </w:rPr>
          <w:t>APG19-3/INP-97Rev.1</w:t>
        </w:r>
      </w:hyperlink>
    </w:p>
    <w:p w:rsidR="00A62532" w:rsidRPr="00124DAB" w:rsidRDefault="00A62532" w:rsidP="00266DF2">
      <w:pPr>
        <w:tabs>
          <w:tab w:val="left" w:pos="3390"/>
        </w:tabs>
        <w:spacing w:after="100" w:afterAutospacing="1"/>
        <w:jc w:val="both"/>
        <w:rPr>
          <w:rFonts w:eastAsia="Times New Roman"/>
          <w:lang w:bidi="en-US"/>
        </w:rPr>
      </w:pPr>
      <w:r>
        <w:rPr>
          <w:rFonts w:eastAsia="Times New Roman"/>
          <w:lang w:bidi="en-US"/>
        </w:rPr>
        <w:t>Bangladesh</w:t>
      </w:r>
      <w:r w:rsidRPr="00124DAB">
        <w:rPr>
          <w:rFonts w:eastAsia="Times New Roman"/>
          <w:lang w:bidi="en-US"/>
        </w:rPr>
        <w:t xml:space="preserve"> supports ITU-R studies regarding possible technical and operational measures to ensure coexistence and compatibility between the terrestrial component of IMT (in the mobile service) and the satellite component of IMT (in the mobile service and the mobile-satellite service) in the frequency bands 1</w:t>
      </w:r>
      <w:r w:rsidR="00266DF2">
        <w:rPr>
          <w:rFonts w:eastAsia="Times New Roman"/>
          <w:lang w:bidi="en-US"/>
        </w:rPr>
        <w:t> </w:t>
      </w:r>
      <w:r w:rsidRPr="00124DAB">
        <w:rPr>
          <w:rFonts w:eastAsia="Times New Roman"/>
          <w:lang w:bidi="en-US"/>
        </w:rPr>
        <w:t>980- 2</w:t>
      </w:r>
      <w:r w:rsidR="00266DF2">
        <w:rPr>
          <w:rFonts w:eastAsia="Times New Roman"/>
          <w:lang w:bidi="en-US"/>
        </w:rPr>
        <w:t> </w:t>
      </w:r>
      <w:r w:rsidRPr="00124DAB">
        <w:rPr>
          <w:rFonts w:eastAsia="Times New Roman"/>
          <w:lang w:bidi="en-US"/>
        </w:rPr>
        <w:t>010 MHz and 2</w:t>
      </w:r>
      <w:r w:rsidR="00266DF2">
        <w:rPr>
          <w:rFonts w:eastAsia="Times New Roman"/>
          <w:lang w:bidi="en-US"/>
        </w:rPr>
        <w:t> </w:t>
      </w:r>
      <w:r w:rsidRPr="00124DAB">
        <w:rPr>
          <w:rFonts w:eastAsia="Times New Roman"/>
          <w:lang w:bidi="en-US"/>
        </w:rPr>
        <w:t>170-2</w:t>
      </w:r>
      <w:r w:rsidR="00266DF2">
        <w:rPr>
          <w:rFonts w:eastAsia="Times New Roman"/>
          <w:lang w:bidi="en-US"/>
        </w:rPr>
        <w:t> </w:t>
      </w:r>
      <w:r w:rsidRPr="00124DAB">
        <w:rPr>
          <w:rFonts w:eastAsia="Times New Roman"/>
          <w:lang w:bidi="en-US"/>
        </w:rPr>
        <w:t xml:space="preserve">200 </w:t>
      </w:r>
      <w:proofErr w:type="spellStart"/>
      <w:r w:rsidRPr="00124DAB">
        <w:rPr>
          <w:rFonts w:eastAsia="Times New Roman"/>
          <w:lang w:bidi="en-US"/>
        </w:rPr>
        <w:t>MHz.</w:t>
      </w:r>
      <w:proofErr w:type="spellEnd"/>
    </w:p>
    <w:p w:rsidR="008454C8" w:rsidRPr="00FF1511" w:rsidRDefault="009963B4" w:rsidP="009A1FC3">
      <w:pPr>
        <w:pStyle w:val="ListParagraph"/>
        <w:numPr>
          <w:ilvl w:val="1"/>
          <w:numId w:val="31"/>
        </w:numPr>
        <w:spacing w:after="120"/>
        <w:ind w:left="720" w:hanging="720"/>
        <w:jc w:val="both"/>
        <w:rPr>
          <w:b/>
          <w:lang w:val="en-NZ"/>
        </w:rPr>
      </w:pPr>
      <w:r w:rsidRPr="00FF1511">
        <w:rPr>
          <w:b/>
          <w:lang w:val="en-NZ"/>
        </w:rPr>
        <w:t>S</w:t>
      </w:r>
      <w:r w:rsidRPr="00FF1511">
        <w:rPr>
          <w:b/>
          <w:lang w:val="en-NZ" w:eastAsia="ko-KR"/>
        </w:rPr>
        <w:t>ummary of issues raised du</w:t>
      </w:r>
      <w:r w:rsidRPr="00FF1511">
        <w:rPr>
          <w:b/>
          <w:lang w:val="en-NZ"/>
        </w:rPr>
        <w:t>ring the meeting</w:t>
      </w:r>
    </w:p>
    <w:p w:rsidR="00B64A60" w:rsidRPr="00652F36" w:rsidRDefault="007E43EB" w:rsidP="00652F36">
      <w:pPr>
        <w:jc w:val="both"/>
        <w:rPr>
          <w:lang w:val="en-NZ"/>
        </w:rPr>
      </w:pPr>
      <w:r w:rsidRPr="00652F36">
        <w:rPr>
          <w:rFonts w:eastAsiaTheme="minorEastAsia"/>
          <w:lang w:eastAsia="ja-JP"/>
        </w:rPr>
        <w:t xml:space="preserve">Some </w:t>
      </w:r>
      <w:r w:rsidR="006565A8" w:rsidRPr="00652F36">
        <w:rPr>
          <w:rFonts w:eastAsiaTheme="minorEastAsia"/>
          <w:lang w:eastAsia="ja-JP"/>
        </w:rPr>
        <w:t xml:space="preserve">APT </w:t>
      </w:r>
      <w:r w:rsidRPr="00652F36">
        <w:rPr>
          <w:rFonts w:eastAsiaTheme="minorEastAsia"/>
          <w:lang w:eastAsia="ja-JP"/>
        </w:rPr>
        <w:t>M</w:t>
      </w:r>
      <w:r w:rsidR="006565A8" w:rsidRPr="00652F36">
        <w:rPr>
          <w:rFonts w:eastAsiaTheme="minorEastAsia"/>
          <w:lang w:eastAsia="ja-JP"/>
        </w:rPr>
        <w:t xml:space="preserve">embers </w:t>
      </w:r>
      <w:r w:rsidRPr="00652F36">
        <w:rPr>
          <w:rFonts w:eastAsiaTheme="minorEastAsia"/>
          <w:lang w:eastAsia="ja-JP"/>
        </w:rPr>
        <w:t xml:space="preserve">expressed </w:t>
      </w:r>
      <w:r w:rsidR="006565A8" w:rsidRPr="00652F36">
        <w:rPr>
          <w:rFonts w:eastAsiaTheme="minorEastAsia"/>
          <w:lang w:eastAsia="ja-JP"/>
        </w:rPr>
        <w:t xml:space="preserve">the view that </w:t>
      </w:r>
      <w:r w:rsidR="006565A8" w:rsidRPr="00652F36">
        <w:rPr>
          <w:rFonts w:eastAsiaTheme="minorEastAsia" w:hint="eastAsia"/>
          <w:lang w:eastAsia="ja-JP"/>
        </w:rPr>
        <w:t xml:space="preserve">these </w:t>
      </w:r>
      <w:r w:rsidR="006565A8" w:rsidRPr="00652F36">
        <w:rPr>
          <w:rFonts w:eastAsiaTheme="minorEastAsia"/>
          <w:lang w:eastAsia="ja-JP"/>
        </w:rPr>
        <w:t xml:space="preserve">measures should be carefully studied </w:t>
      </w:r>
      <w:r w:rsidR="006565A8" w:rsidRPr="00652F36">
        <w:rPr>
          <w:rFonts w:eastAsiaTheme="minorEastAsia" w:hint="eastAsia"/>
          <w:lang w:eastAsia="ja-JP"/>
        </w:rPr>
        <w:t xml:space="preserve">in order </w:t>
      </w:r>
      <w:r w:rsidR="006565A8" w:rsidRPr="00652F36">
        <w:rPr>
          <w:rFonts w:eastAsiaTheme="minorEastAsia"/>
          <w:lang w:eastAsia="ja-JP"/>
        </w:rPr>
        <w:t>to provide flexible and implementable solutions by taking into account</w:t>
      </w:r>
      <w:r w:rsidRPr="00652F36">
        <w:rPr>
          <w:rFonts w:eastAsiaTheme="minorEastAsia"/>
          <w:lang w:eastAsia="ja-JP"/>
        </w:rPr>
        <w:t xml:space="preserve"> </w:t>
      </w:r>
      <w:r w:rsidR="006565A8" w:rsidRPr="00652F36">
        <w:rPr>
          <w:rFonts w:eastAsiaTheme="minorEastAsia"/>
          <w:lang w:eastAsia="ja-JP"/>
        </w:rPr>
        <w:t xml:space="preserve">actual and realistic system characteristics/conditions rather than </w:t>
      </w:r>
      <w:r w:rsidR="006565A8" w:rsidRPr="00652F36">
        <w:rPr>
          <w:rFonts w:eastAsiaTheme="minorEastAsia" w:hint="eastAsia"/>
          <w:lang w:eastAsia="ja-JP"/>
        </w:rPr>
        <w:t xml:space="preserve">the </w:t>
      </w:r>
      <w:r w:rsidR="006565A8" w:rsidRPr="00652F36">
        <w:rPr>
          <w:rFonts w:eastAsiaTheme="minorEastAsia"/>
          <w:lang w:eastAsia="ja-JP"/>
        </w:rPr>
        <w:t>worst-case characteristics/conditions only. It is important to avoid apply</w:t>
      </w:r>
      <w:r w:rsidR="006565A8" w:rsidRPr="00652F36">
        <w:rPr>
          <w:rFonts w:eastAsiaTheme="minorEastAsia" w:hint="eastAsia"/>
          <w:lang w:eastAsia="ja-JP"/>
        </w:rPr>
        <w:t>ing</w:t>
      </w:r>
      <w:r w:rsidR="006565A8" w:rsidRPr="00652F36">
        <w:rPr>
          <w:rFonts w:eastAsiaTheme="minorEastAsia"/>
          <w:lang w:eastAsia="ja-JP"/>
        </w:rPr>
        <w:t xml:space="preserve"> a unitary solution based on </w:t>
      </w:r>
      <w:r w:rsidR="006565A8" w:rsidRPr="00652F36">
        <w:rPr>
          <w:rFonts w:eastAsiaTheme="minorEastAsia" w:hint="eastAsia"/>
          <w:lang w:eastAsia="ja-JP"/>
        </w:rPr>
        <w:t xml:space="preserve">the </w:t>
      </w:r>
      <w:r w:rsidR="006565A8" w:rsidRPr="00652F36">
        <w:rPr>
          <w:rFonts w:eastAsiaTheme="minorEastAsia"/>
          <w:lang w:eastAsia="ja-JP"/>
        </w:rPr>
        <w:t xml:space="preserve">worst-case interference conditions, especially to the actual and realistic interference case in which less interference levels </w:t>
      </w:r>
      <w:r w:rsidR="006565A8" w:rsidRPr="00652F36">
        <w:rPr>
          <w:rFonts w:eastAsiaTheme="minorEastAsia" w:hint="eastAsia"/>
          <w:lang w:eastAsia="ja-JP"/>
        </w:rPr>
        <w:t xml:space="preserve">could </w:t>
      </w:r>
      <w:r w:rsidR="006565A8" w:rsidRPr="00652F36">
        <w:rPr>
          <w:rFonts w:eastAsiaTheme="minorEastAsia"/>
          <w:lang w:eastAsia="ja-JP"/>
        </w:rPr>
        <w:t>be expected.</w:t>
      </w:r>
    </w:p>
    <w:p w:rsidR="00585F3C" w:rsidRPr="00652F36" w:rsidRDefault="00515D81" w:rsidP="009A5804">
      <w:pPr>
        <w:spacing w:before="120"/>
        <w:jc w:val="both"/>
        <w:rPr>
          <w:rFonts w:eastAsiaTheme="minorEastAsia"/>
          <w:lang w:eastAsia="ja-JP"/>
        </w:rPr>
      </w:pPr>
      <w:r w:rsidRPr="00652F36">
        <w:rPr>
          <w:rFonts w:eastAsiaTheme="minorEastAsia"/>
          <w:lang w:eastAsia="ja-JP"/>
        </w:rPr>
        <w:t xml:space="preserve">Some </w:t>
      </w:r>
      <w:r w:rsidR="007E43EB" w:rsidRPr="00652F36">
        <w:rPr>
          <w:rFonts w:eastAsiaTheme="minorEastAsia"/>
          <w:lang w:eastAsia="ja-JP"/>
        </w:rPr>
        <w:t xml:space="preserve">other </w:t>
      </w:r>
      <w:r w:rsidRPr="00652F36">
        <w:rPr>
          <w:rFonts w:eastAsiaTheme="minorEastAsia"/>
          <w:lang w:eastAsia="ja-JP"/>
        </w:rPr>
        <w:t xml:space="preserve">APT Members expressed </w:t>
      </w:r>
      <w:r w:rsidR="007E43EB" w:rsidRPr="00652F36">
        <w:rPr>
          <w:rFonts w:eastAsiaTheme="minorEastAsia"/>
          <w:lang w:eastAsia="ja-JP"/>
        </w:rPr>
        <w:t xml:space="preserve">the </w:t>
      </w:r>
      <w:r w:rsidR="000E00D3" w:rsidRPr="00652F36">
        <w:rPr>
          <w:rFonts w:eastAsiaTheme="minorEastAsia"/>
          <w:lang w:eastAsia="ja-JP"/>
        </w:rPr>
        <w:t xml:space="preserve">view that </w:t>
      </w:r>
      <w:r w:rsidRPr="00652F36">
        <w:rPr>
          <w:rFonts w:eastAsiaTheme="minorEastAsia"/>
          <w:lang w:eastAsia="ja-JP"/>
        </w:rPr>
        <w:t xml:space="preserve">some </w:t>
      </w:r>
      <w:r w:rsidR="00713ED4" w:rsidRPr="00652F36">
        <w:rPr>
          <w:rFonts w:eastAsiaTheme="minorEastAsia"/>
          <w:lang w:eastAsia="ja-JP"/>
        </w:rPr>
        <w:t>system parameters</w:t>
      </w:r>
      <w:r w:rsidR="00E52831">
        <w:rPr>
          <w:rFonts w:eastAsiaTheme="minorEastAsia"/>
          <w:lang w:eastAsia="ja-JP"/>
        </w:rPr>
        <w:t>, as well as</w:t>
      </w:r>
      <w:r w:rsidR="00713ED4" w:rsidRPr="00652F36">
        <w:rPr>
          <w:rFonts w:eastAsiaTheme="minorEastAsia"/>
          <w:lang w:eastAsia="ja-JP"/>
        </w:rPr>
        <w:t xml:space="preserve"> deployment and propagation models in current studies</w:t>
      </w:r>
      <w:r w:rsidR="00E52831">
        <w:rPr>
          <w:rFonts w:eastAsiaTheme="minorEastAsia"/>
          <w:lang w:eastAsia="ja-JP"/>
        </w:rPr>
        <w:t>,</w:t>
      </w:r>
      <w:r w:rsidR="00713ED4" w:rsidRPr="00652F36">
        <w:rPr>
          <w:rFonts w:eastAsiaTheme="minorEastAsia"/>
          <w:lang w:eastAsia="ja-JP"/>
        </w:rPr>
        <w:t xml:space="preserve"> are from ITU-R Recommendations</w:t>
      </w:r>
      <w:r w:rsidR="00E52831">
        <w:rPr>
          <w:rFonts w:eastAsiaTheme="minorEastAsia"/>
          <w:lang w:eastAsia="ja-JP"/>
        </w:rPr>
        <w:t>,</w:t>
      </w:r>
      <w:r w:rsidR="00713ED4" w:rsidRPr="00652F36">
        <w:rPr>
          <w:rFonts w:eastAsiaTheme="minorEastAsia"/>
          <w:lang w:eastAsia="ja-JP"/>
        </w:rPr>
        <w:t xml:space="preserve"> </w:t>
      </w:r>
      <w:r w:rsidR="00E52831">
        <w:rPr>
          <w:rFonts w:eastAsiaTheme="minorEastAsia"/>
          <w:lang w:eastAsia="ja-JP"/>
        </w:rPr>
        <w:t>therefore</w:t>
      </w:r>
      <w:r w:rsidR="00713ED4" w:rsidRPr="00652F36">
        <w:rPr>
          <w:rFonts w:eastAsiaTheme="minorEastAsia"/>
          <w:lang w:eastAsia="ja-JP"/>
        </w:rPr>
        <w:t xml:space="preserve"> the study results are preliminary reliable </w:t>
      </w:r>
      <w:r w:rsidR="009A5804">
        <w:rPr>
          <w:rFonts w:eastAsiaTheme="minorEastAsia"/>
          <w:lang w:eastAsia="ja-JP"/>
        </w:rPr>
        <w:t>(</w:t>
      </w:r>
      <w:r w:rsidR="009A5804" w:rsidRPr="00652F36">
        <w:rPr>
          <w:rFonts w:eastAsiaTheme="minorEastAsia"/>
          <w:lang w:eastAsia="ja-JP"/>
        </w:rPr>
        <w:t xml:space="preserve">ITU-R </w:t>
      </w:r>
      <w:r w:rsidR="00713ED4" w:rsidRPr="00652F36">
        <w:rPr>
          <w:rFonts w:eastAsiaTheme="minorEastAsia"/>
          <w:lang w:eastAsia="ja-JP"/>
        </w:rPr>
        <w:t xml:space="preserve">characteristics and conditions have </w:t>
      </w:r>
      <w:r w:rsidR="00713ED4" w:rsidRPr="00652F36">
        <w:rPr>
          <w:rFonts w:eastAsiaTheme="minorEastAsia"/>
          <w:lang w:eastAsia="ja-JP"/>
        </w:rPr>
        <w:lastRenderedPageBreak/>
        <w:t xml:space="preserve">been considered and </w:t>
      </w:r>
      <w:r w:rsidR="009A5804">
        <w:rPr>
          <w:rFonts w:eastAsiaTheme="minorEastAsia"/>
          <w:lang w:eastAsia="ja-JP"/>
        </w:rPr>
        <w:t xml:space="preserve">issues </w:t>
      </w:r>
      <w:r w:rsidR="00713ED4" w:rsidRPr="00652F36">
        <w:rPr>
          <w:rFonts w:eastAsiaTheme="minorEastAsia"/>
          <w:lang w:eastAsia="ja-JP"/>
        </w:rPr>
        <w:t xml:space="preserve">studied by both </w:t>
      </w:r>
      <w:r w:rsidR="00713ED4" w:rsidRPr="00FE4D5F">
        <w:rPr>
          <w:rFonts w:eastAsiaTheme="minorEastAsia"/>
          <w:bCs/>
          <w:lang w:eastAsia="ja-JP"/>
        </w:rPr>
        <w:t>WP 4C</w:t>
      </w:r>
      <w:r w:rsidR="00713ED4" w:rsidRPr="009F45C2">
        <w:rPr>
          <w:rFonts w:eastAsiaTheme="minorEastAsia"/>
          <w:lang w:eastAsia="ja-JP"/>
        </w:rPr>
        <w:t xml:space="preserve"> and </w:t>
      </w:r>
      <w:r w:rsidR="009A5804" w:rsidRPr="00FE4D5F">
        <w:rPr>
          <w:rFonts w:eastAsiaTheme="minorEastAsia"/>
          <w:bCs/>
          <w:lang w:eastAsia="ja-JP"/>
        </w:rPr>
        <w:t>WP</w:t>
      </w:r>
      <w:r w:rsidR="009A5804" w:rsidRPr="009F45C2">
        <w:rPr>
          <w:rFonts w:eastAsiaTheme="minorEastAsia"/>
          <w:lang w:eastAsia="ja-JP"/>
        </w:rPr>
        <w:t> </w:t>
      </w:r>
      <w:r w:rsidR="00713ED4" w:rsidRPr="00FE4D5F">
        <w:rPr>
          <w:rFonts w:eastAsiaTheme="minorEastAsia"/>
          <w:bCs/>
          <w:lang w:eastAsia="ja-JP"/>
        </w:rPr>
        <w:t>5D</w:t>
      </w:r>
      <w:r w:rsidR="009A5804" w:rsidRPr="009A5804">
        <w:rPr>
          <w:rFonts w:eastAsiaTheme="minorEastAsia"/>
          <w:lang w:eastAsia="ja-JP"/>
        </w:rPr>
        <w:t xml:space="preserve"> </w:t>
      </w:r>
      <w:r w:rsidR="009A5804" w:rsidRPr="00652F36">
        <w:rPr>
          <w:rFonts w:eastAsiaTheme="minorEastAsia"/>
          <w:lang w:eastAsia="ja-JP"/>
        </w:rPr>
        <w:t>carefully</w:t>
      </w:r>
      <w:r w:rsidR="009A5804">
        <w:rPr>
          <w:rFonts w:eastAsiaTheme="minorEastAsia"/>
          <w:lang w:eastAsia="ja-JP"/>
        </w:rPr>
        <w:t>)</w:t>
      </w:r>
      <w:r w:rsidR="00713ED4" w:rsidRPr="00652F36">
        <w:rPr>
          <w:rFonts w:eastAsiaTheme="minorEastAsia"/>
          <w:lang w:eastAsia="ja-JP"/>
        </w:rPr>
        <w:t xml:space="preserve">. </w:t>
      </w:r>
      <w:r w:rsidR="000E00D3" w:rsidRPr="00652F36">
        <w:rPr>
          <w:rFonts w:eastAsiaTheme="minorEastAsia"/>
          <w:lang w:eastAsia="ja-JP"/>
        </w:rPr>
        <w:t>T</w:t>
      </w:r>
      <w:r w:rsidR="00713ED4" w:rsidRPr="00652F36">
        <w:rPr>
          <w:rFonts w:eastAsiaTheme="minorEastAsia"/>
          <w:lang w:eastAsia="ja-JP"/>
        </w:rPr>
        <w:t>he technical and operational measures should cover the worse cases in order to ensure coexistence and compatibility while the flexible and implementable solutions could be further considered during the coordination, as appropriate.</w:t>
      </w:r>
    </w:p>
    <w:p w:rsidR="00CA2016" w:rsidRPr="00B675BA" w:rsidRDefault="00CA2016" w:rsidP="00652F36">
      <w:pPr>
        <w:spacing w:before="120"/>
        <w:jc w:val="both"/>
        <w:rPr>
          <w:rFonts w:asciiTheme="majorBidi" w:hAnsiTheme="majorBidi" w:cstheme="majorBidi"/>
        </w:rPr>
      </w:pPr>
      <w:r w:rsidRPr="00B675BA">
        <w:rPr>
          <w:rFonts w:asciiTheme="majorBidi" w:hAnsiTheme="majorBidi" w:cstheme="majorBidi"/>
        </w:rPr>
        <w:t xml:space="preserve">During the discussion on the proposal of one administration for protection of existing utilizations, it was concluded that it is </w:t>
      </w:r>
      <w:r w:rsidRPr="00652F36">
        <w:rPr>
          <w:rFonts w:eastAsiaTheme="minorEastAsia"/>
          <w:lang w:eastAsia="ja-JP"/>
        </w:rPr>
        <w:t>premature</w:t>
      </w:r>
      <w:r w:rsidRPr="00652F36">
        <w:rPr>
          <w:rFonts w:asciiTheme="majorBidi" w:hAnsiTheme="majorBidi" w:cstheme="majorBidi"/>
        </w:rPr>
        <w:t xml:space="preserve"> </w:t>
      </w:r>
      <w:r w:rsidRPr="00B675BA">
        <w:rPr>
          <w:rFonts w:asciiTheme="majorBidi" w:hAnsiTheme="majorBidi" w:cstheme="majorBidi"/>
        </w:rPr>
        <w:t xml:space="preserve">to determine an implementation </w:t>
      </w:r>
      <w:r>
        <w:rPr>
          <w:rFonts w:asciiTheme="majorBidi" w:hAnsiTheme="majorBidi" w:cstheme="majorBidi"/>
        </w:rPr>
        <w:t xml:space="preserve">future </w:t>
      </w:r>
      <w:r w:rsidRPr="00B675BA">
        <w:rPr>
          <w:rFonts w:asciiTheme="majorBidi" w:hAnsiTheme="majorBidi" w:cstheme="majorBidi"/>
        </w:rPr>
        <w:t xml:space="preserve">date for utilization of the bands 1 885–2 025 MHz and 2 110–2 200 MHz by the terrestrial and satellite components of IMT before conclusion of </w:t>
      </w:r>
      <w:r w:rsidRPr="008521E5">
        <w:rPr>
          <w:rFonts w:asciiTheme="majorBidi" w:hAnsiTheme="majorBidi" w:cstheme="majorBidi"/>
        </w:rPr>
        <w:t>ITU-R</w:t>
      </w:r>
      <w:r w:rsidRPr="00B675BA">
        <w:rPr>
          <w:rFonts w:asciiTheme="majorBidi" w:hAnsiTheme="majorBidi" w:cstheme="majorBidi"/>
        </w:rPr>
        <w:t xml:space="preserve"> studies on technical and operational measures, to ensure protection of existing utilizations from the interference that may be caused by new comer terrestrial and satellite components of IMT in above frequency bands.</w:t>
      </w:r>
    </w:p>
    <w:p w:rsidR="00CA2016" w:rsidRDefault="0073725F" w:rsidP="00652F36">
      <w:pPr>
        <w:spacing w:before="120"/>
        <w:jc w:val="both"/>
        <w:rPr>
          <w:rFonts w:eastAsiaTheme="minorEastAsia"/>
          <w:color w:val="4F81BD" w:themeColor="accent1"/>
          <w:u w:val="single"/>
          <w:lang w:eastAsia="ja-JP"/>
        </w:rPr>
      </w:pPr>
      <w:r w:rsidRPr="00B675BA">
        <w:rPr>
          <w:rFonts w:asciiTheme="majorBidi" w:hAnsiTheme="majorBidi" w:cstheme="majorBidi"/>
        </w:rPr>
        <w:t xml:space="preserve">Pursuant to the Resolution </w:t>
      </w:r>
      <w:r w:rsidRPr="00B675BA">
        <w:rPr>
          <w:rFonts w:asciiTheme="majorBidi" w:hAnsiTheme="majorBidi" w:cstheme="majorBidi"/>
          <w:b/>
          <w:bCs/>
        </w:rPr>
        <w:t>212</w:t>
      </w:r>
      <w:r w:rsidRPr="00B675BA">
        <w:rPr>
          <w:rFonts w:asciiTheme="majorBidi" w:hAnsiTheme="majorBidi" w:cstheme="majorBidi"/>
        </w:rPr>
        <w:t xml:space="preserve"> (</w:t>
      </w:r>
      <w:r w:rsidRPr="00B675BA">
        <w:rPr>
          <w:rFonts w:asciiTheme="majorBidi" w:hAnsiTheme="majorBidi" w:cstheme="majorBidi"/>
          <w:b/>
          <w:bCs/>
        </w:rPr>
        <w:t>Rev. WRC-15</w:t>
      </w:r>
      <w:r w:rsidRPr="00B675BA">
        <w:rPr>
          <w:rFonts w:asciiTheme="majorBidi" w:hAnsiTheme="majorBidi" w:cstheme="majorBidi"/>
        </w:rPr>
        <w:t xml:space="preserve">), protection of services in the frequency bands adjacent to 1 885–2 025 MHz and 2 110–2 200 MHz has not been studied yet within </w:t>
      </w:r>
      <w:r w:rsidRPr="00FE4D5F">
        <w:rPr>
          <w:rFonts w:asciiTheme="majorBidi" w:hAnsiTheme="majorBidi" w:cstheme="majorBidi"/>
          <w:bCs/>
        </w:rPr>
        <w:t>WP 4C</w:t>
      </w:r>
      <w:r w:rsidRPr="000E0B70">
        <w:rPr>
          <w:rFonts w:asciiTheme="majorBidi" w:hAnsiTheme="majorBidi" w:cstheme="majorBidi"/>
        </w:rPr>
        <w:t xml:space="preserve"> or </w:t>
      </w:r>
      <w:r w:rsidRPr="00FE4D5F">
        <w:rPr>
          <w:rFonts w:asciiTheme="majorBidi" w:hAnsiTheme="majorBidi" w:cstheme="majorBidi"/>
          <w:bCs/>
        </w:rPr>
        <w:t>WP 5D</w:t>
      </w:r>
      <w:r w:rsidRPr="00E47A8E">
        <w:rPr>
          <w:rFonts w:asciiTheme="majorBidi" w:hAnsiTheme="majorBidi" w:cstheme="majorBidi"/>
        </w:rPr>
        <w:t xml:space="preserve"> at the moment</w:t>
      </w:r>
      <w:r w:rsidRPr="005F7270">
        <w:rPr>
          <w:rFonts w:asciiTheme="majorBidi" w:hAnsiTheme="majorBidi" w:cstheme="majorBidi"/>
        </w:rPr>
        <w:t xml:space="preserve">. </w:t>
      </w:r>
      <w:r w:rsidRPr="00B675BA">
        <w:rPr>
          <w:rFonts w:asciiTheme="majorBidi" w:hAnsiTheme="majorBidi" w:cstheme="majorBidi"/>
        </w:rPr>
        <w:t xml:space="preserve">APT members </w:t>
      </w:r>
      <w:r>
        <w:rPr>
          <w:rFonts w:asciiTheme="majorBidi" w:hAnsiTheme="majorBidi" w:cstheme="majorBidi"/>
        </w:rPr>
        <w:t>are encouraged to</w:t>
      </w:r>
      <w:r w:rsidRPr="00B675BA">
        <w:rPr>
          <w:rFonts w:asciiTheme="majorBidi" w:hAnsiTheme="majorBidi" w:cstheme="majorBidi"/>
        </w:rPr>
        <w:t xml:space="preserve"> submit contributions addressing adjacent band protection issue</w:t>
      </w:r>
      <w:r w:rsidR="006755FE">
        <w:rPr>
          <w:rFonts w:asciiTheme="majorBidi" w:hAnsiTheme="majorBidi" w:cstheme="majorBidi"/>
        </w:rPr>
        <w:t xml:space="preserve"> and confirming that whether it is in the scope of studies</w:t>
      </w:r>
      <w:r w:rsidRPr="00B675BA">
        <w:rPr>
          <w:rFonts w:asciiTheme="majorBidi" w:hAnsiTheme="majorBidi" w:cstheme="majorBidi"/>
        </w:rPr>
        <w:t xml:space="preserve">, </w:t>
      </w:r>
      <w:r w:rsidR="00905381">
        <w:rPr>
          <w:rFonts w:asciiTheme="majorBidi" w:hAnsiTheme="majorBidi" w:cstheme="majorBidi"/>
        </w:rPr>
        <w:t xml:space="preserve">if necessary, </w:t>
      </w:r>
      <w:r w:rsidRPr="00B675BA">
        <w:rPr>
          <w:rFonts w:asciiTheme="majorBidi" w:hAnsiTheme="majorBidi" w:cstheme="majorBidi"/>
        </w:rPr>
        <w:t>to the above working parties directly.</w:t>
      </w:r>
    </w:p>
    <w:p w:rsidR="00713ED4" w:rsidRDefault="00713ED4" w:rsidP="00652F36">
      <w:pPr>
        <w:spacing w:before="120"/>
        <w:jc w:val="both"/>
        <w:rPr>
          <w:lang w:val="en-NZ"/>
        </w:rPr>
      </w:pPr>
    </w:p>
    <w:p w:rsidR="00B64A60" w:rsidRDefault="004465AA" w:rsidP="009A1FC3">
      <w:pPr>
        <w:pStyle w:val="ListParagraph"/>
        <w:numPr>
          <w:ilvl w:val="0"/>
          <w:numId w:val="30"/>
        </w:numPr>
        <w:spacing w:after="120"/>
        <w:ind w:left="720"/>
        <w:jc w:val="both"/>
        <w:rPr>
          <w:b/>
          <w:lang w:val="en-NZ" w:eastAsia="ko-KR"/>
        </w:rPr>
      </w:pPr>
      <w:r>
        <w:rPr>
          <w:b/>
          <w:lang w:val="en-NZ" w:eastAsia="ko-KR"/>
        </w:rPr>
        <w:t xml:space="preserve">APT </w:t>
      </w:r>
      <w:r w:rsidR="00B64A60">
        <w:rPr>
          <w:b/>
          <w:lang w:val="en-NZ" w:eastAsia="ko-KR"/>
        </w:rPr>
        <w:t xml:space="preserve">Preliminary </w:t>
      </w:r>
      <w:r w:rsidR="00B64A60" w:rsidRPr="00710333">
        <w:rPr>
          <w:b/>
          <w:lang w:val="en-NZ" w:eastAsia="ko-KR"/>
        </w:rPr>
        <w:t>View</w:t>
      </w:r>
      <w:r w:rsidR="00D53688">
        <w:rPr>
          <w:b/>
          <w:lang w:val="en-NZ" w:eastAsia="ko-KR"/>
        </w:rPr>
        <w:t>(s)</w:t>
      </w:r>
    </w:p>
    <w:p w:rsidR="0076337F" w:rsidRDefault="0076337F">
      <w:pPr>
        <w:spacing w:after="60"/>
        <w:jc w:val="both"/>
        <w:rPr>
          <w:rFonts w:asciiTheme="majorBidi" w:eastAsia="Malgun Gothic" w:hAnsiTheme="majorBidi" w:cstheme="majorBidi"/>
          <w:bCs/>
          <w:snapToGrid w:val="0"/>
          <w:lang w:eastAsia="ko-KR"/>
        </w:rPr>
      </w:pPr>
      <w:r w:rsidRPr="0076337F">
        <w:rPr>
          <w:rFonts w:asciiTheme="majorBidi" w:eastAsia="Malgun Gothic" w:hAnsiTheme="majorBidi" w:cstheme="majorBidi" w:hint="eastAsia"/>
          <w:bCs/>
          <w:snapToGrid w:val="0"/>
          <w:lang w:eastAsia="ko-KR"/>
        </w:rPr>
        <w:t xml:space="preserve">APT </w:t>
      </w:r>
      <w:r w:rsidR="00FE4D5F">
        <w:rPr>
          <w:rFonts w:asciiTheme="majorBidi" w:eastAsia="Malgun Gothic" w:hAnsiTheme="majorBidi" w:cstheme="majorBidi"/>
          <w:bCs/>
          <w:snapToGrid w:val="0"/>
          <w:lang w:eastAsia="ko-KR"/>
        </w:rPr>
        <w:t>M</w:t>
      </w:r>
      <w:r w:rsidRPr="0076337F">
        <w:rPr>
          <w:rFonts w:asciiTheme="majorBidi" w:eastAsia="Malgun Gothic" w:hAnsiTheme="majorBidi" w:cstheme="majorBidi" w:hint="eastAsia"/>
          <w:bCs/>
          <w:snapToGrid w:val="0"/>
          <w:lang w:eastAsia="ko-KR"/>
        </w:rPr>
        <w:t>embers</w:t>
      </w:r>
      <w:r w:rsidRPr="0076337F">
        <w:rPr>
          <w:rFonts w:asciiTheme="majorBidi" w:eastAsia="Malgun Gothic" w:hAnsiTheme="majorBidi" w:cstheme="majorBidi"/>
          <w:bCs/>
          <w:snapToGrid w:val="0"/>
          <w:lang w:eastAsia="ko-KR"/>
        </w:rPr>
        <w:t xml:space="preserve"> supports conducting ITU-R studies</w:t>
      </w:r>
      <w:r w:rsidRPr="00721519">
        <w:rPr>
          <w:rFonts w:asciiTheme="majorBidi" w:eastAsia="Malgun Gothic" w:hAnsiTheme="majorBidi" w:cstheme="majorBidi"/>
          <w:bCs/>
          <w:snapToGrid w:val="0"/>
          <w:lang w:eastAsia="ko-KR"/>
        </w:rPr>
        <w:t xml:space="preserve"> on possible technical and operational measures</w:t>
      </w:r>
      <w:r w:rsidRPr="00721519">
        <w:rPr>
          <w:rFonts w:asciiTheme="majorBidi" w:hAnsiTheme="majorBidi" w:cstheme="majorBidi"/>
          <w:lang w:eastAsia="de-DE"/>
        </w:rPr>
        <w:t xml:space="preserve"> to ensure coexistence and compatibility between the </w:t>
      </w:r>
      <w:r w:rsidRPr="00721519">
        <w:rPr>
          <w:rFonts w:asciiTheme="majorBidi" w:hAnsiTheme="majorBidi" w:cstheme="majorBidi"/>
          <w:noProof/>
          <w:lang w:eastAsia="de-DE"/>
        </w:rPr>
        <w:t>terrestrial</w:t>
      </w:r>
      <w:r w:rsidRPr="00721519">
        <w:rPr>
          <w:rFonts w:asciiTheme="majorBidi" w:hAnsiTheme="majorBidi" w:cstheme="majorBidi"/>
          <w:lang w:eastAsia="de-DE"/>
        </w:rPr>
        <w:t xml:space="preserve"> component of IMT and the satellite </w:t>
      </w:r>
      <w:r w:rsidRPr="006F3485">
        <w:rPr>
          <w:rFonts w:asciiTheme="majorBidi" w:eastAsia="Malgun Gothic" w:hAnsiTheme="majorBidi" w:cstheme="majorBidi"/>
          <w:bCs/>
          <w:snapToGrid w:val="0"/>
          <w:lang w:eastAsia="ko-KR"/>
        </w:rPr>
        <w:t>component</w:t>
      </w:r>
      <w:r w:rsidRPr="00721519">
        <w:rPr>
          <w:rFonts w:asciiTheme="majorBidi" w:hAnsiTheme="majorBidi" w:cstheme="majorBidi"/>
          <w:lang w:eastAsia="de-DE"/>
        </w:rPr>
        <w:t xml:space="preserve"> of IMT</w:t>
      </w:r>
      <w:r w:rsidR="0016348A">
        <w:rPr>
          <w:rFonts w:asciiTheme="majorBidi" w:hAnsiTheme="majorBidi" w:cstheme="majorBidi"/>
          <w:lang w:eastAsia="de-DE"/>
        </w:rPr>
        <w:t xml:space="preserve"> i</w:t>
      </w:r>
      <w:r w:rsidRPr="00721519">
        <w:rPr>
          <w:rFonts w:asciiTheme="majorBidi" w:eastAsia="Malgun Gothic" w:hAnsiTheme="majorBidi" w:cstheme="majorBidi"/>
          <w:bCs/>
          <w:snapToGrid w:val="0"/>
          <w:lang w:eastAsia="ko-KR"/>
        </w:rPr>
        <w:t>n the frequency bands 1 980–2 010 MHz and 2 170–2 200 MHz in different countries</w:t>
      </w:r>
      <w:r w:rsidR="00873D9C">
        <w:rPr>
          <w:rFonts w:asciiTheme="majorBidi" w:eastAsia="Malgun Gothic" w:hAnsiTheme="majorBidi" w:cstheme="majorBidi"/>
          <w:bCs/>
          <w:snapToGrid w:val="0"/>
          <w:lang w:eastAsia="ko-KR"/>
        </w:rPr>
        <w:t xml:space="preserve">, </w:t>
      </w:r>
      <w:r w:rsidR="00873D9C" w:rsidRPr="00D8523D">
        <w:rPr>
          <w:rFonts w:eastAsia="Times New Roman"/>
          <w:lang w:bidi="en-US"/>
        </w:rPr>
        <w:t xml:space="preserve">in accordance with Resolution </w:t>
      </w:r>
      <w:r w:rsidR="00873D9C" w:rsidRPr="00D8523D">
        <w:rPr>
          <w:rFonts w:eastAsia="Times New Roman"/>
          <w:b/>
          <w:lang w:bidi="en-US"/>
        </w:rPr>
        <w:t>212 (Rev.WRC-15)</w:t>
      </w:r>
      <w:r>
        <w:rPr>
          <w:rFonts w:asciiTheme="majorBidi" w:eastAsia="Malgun Gothic" w:hAnsiTheme="majorBidi" w:cstheme="majorBidi"/>
          <w:bCs/>
          <w:snapToGrid w:val="0"/>
          <w:lang w:eastAsia="ko-KR"/>
        </w:rPr>
        <w:t>.</w:t>
      </w:r>
      <w:r w:rsidR="00873E15">
        <w:rPr>
          <w:rFonts w:asciiTheme="majorBidi" w:eastAsia="Malgun Gothic" w:hAnsiTheme="majorBidi" w:cstheme="majorBidi"/>
          <w:bCs/>
          <w:snapToGrid w:val="0"/>
          <w:lang w:eastAsia="ko-KR"/>
        </w:rPr>
        <w:t xml:space="preserve"> </w:t>
      </w:r>
    </w:p>
    <w:p w:rsidR="00FD6235" w:rsidRDefault="00FD6235" w:rsidP="00B64A60">
      <w:pPr>
        <w:rPr>
          <w:lang w:val="en-NZ"/>
        </w:rPr>
      </w:pPr>
    </w:p>
    <w:p w:rsidR="00B64A60" w:rsidRPr="008D046E" w:rsidRDefault="00B64A60" w:rsidP="009A1FC3">
      <w:pPr>
        <w:pStyle w:val="ListParagraph"/>
        <w:numPr>
          <w:ilvl w:val="0"/>
          <w:numId w:val="30"/>
        </w:numPr>
        <w:spacing w:after="120"/>
        <w:ind w:left="720"/>
        <w:jc w:val="both"/>
        <w:rPr>
          <w:b/>
          <w:lang w:val="en-NZ" w:eastAsia="ko-KR"/>
        </w:rPr>
      </w:pPr>
      <w:r w:rsidRPr="008D046E">
        <w:rPr>
          <w:b/>
          <w:lang w:val="en-NZ" w:eastAsia="ko-KR"/>
        </w:rPr>
        <w:t>Other View</w:t>
      </w:r>
      <w:r w:rsidR="00F56FD4">
        <w:rPr>
          <w:b/>
          <w:lang w:val="en-NZ" w:eastAsia="ko-KR"/>
        </w:rPr>
        <w:t>(</w:t>
      </w:r>
      <w:r w:rsidRPr="008D046E">
        <w:rPr>
          <w:b/>
          <w:lang w:val="en-NZ" w:eastAsia="ko-KR"/>
        </w:rPr>
        <w:t>s</w:t>
      </w:r>
      <w:r w:rsidR="00F56FD4">
        <w:rPr>
          <w:b/>
          <w:lang w:val="en-NZ" w:eastAsia="ko-KR"/>
        </w:rPr>
        <w:t>)</w:t>
      </w:r>
    </w:p>
    <w:p w:rsidR="00CA2016" w:rsidRDefault="00BA44FA" w:rsidP="0027044B">
      <w:pPr>
        <w:jc w:val="both"/>
        <w:rPr>
          <w:lang w:val="en-NZ"/>
        </w:rPr>
      </w:pPr>
      <w:r>
        <w:rPr>
          <w:lang w:val="en-NZ"/>
        </w:rPr>
        <w:t>Some APT Members have a view that s</w:t>
      </w:r>
      <w:r w:rsidR="00CA2016" w:rsidRPr="00A115CC">
        <w:rPr>
          <w:lang w:val="en-NZ"/>
        </w:rPr>
        <w:t xml:space="preserve">ince the Radio </w:t>
      </w:r>
      <w:r w:rsidR="00CA2016" w:rsidRPr="00681307">
        <w:rPr>
          <w:rFonts w:eastAsia="Malgun Gothic"/>
          <w:bCs/>
          <w:snapToGrid w:val="0"/>
          <w:lang w:eastAsia="ko-KR"/>
        </w:rPr>
        <w:t>Regulations</w:t>
      </w:r>
      <w:r w:rsidR="00CA2016" w:rsidRPr="00A115CC">
        <w:rPr>
          <w:lang w:val="en-NZ"/>
        </w:rPr>
        <w:t xml:space="preserve"> did not establish priority neither between terrestrial and satellite components of IMT, nor </w:t>
      </w:r>
      <w:r w:rsidR="00CA2016" w:rsidRPr="0016348A">
        <w:rPr>
          <w:lang w:val="en-NZ"/>
        </w:rPr>
        <w:t xml:space="preserve">between </w:t>
      </w:r>
      <w:r w:rsidR="00572F8F" w:rsidRPr="0016348A">
        <w:rPr>
          <w:lang w:val="en-NZ"/>
        </w:rPr>
        <w:t xml:space="preserve">mobile </w:t>
      </w:r>
      <w:r w:rsidR="00CA2016" w:rsidRPr="0016348A">
        <w:rPr>
          <w:lang w:val="en-NZ"/>
        </w:rPr>
        <w:t xml:space="preserve">and </w:t>
      </w:r>
      <w:r w:rsidR="00572F8F" w:rsidRPr="0016348A">
        <w:rPr>
          <w:lang w:val="en-NZ"/>
        </w:rPr>
        <w:t>mobile</w:t>
      </w:r>
      <w:r w:rsidR="00CA2016" w:rsidRPr="0016348A">
        <w:rPr>
          <w:lang w:val="en-NZ"/>
        </w:rPr>
        <w:t>-</w:t>
      </w:r>
      <w:r w:rsidR="00572F8F" w:rsidRPr="0016348A">
        <w:rPr>
          <w:lang w:val="en-NZ"/>
        </w:rPr>
        <w:t>s</w:t>
      </w:r>
      <w:r w:rsidR="00CA2016" w:rsidRPr="0016348A">
        <w:rPr>
          <w:lang w:val="en-NZ"/>
        </w:rPr>
        <w:t>a</w:t>
      </w:r>
      <w:r w:rsidR="00CA2016" w:rsidRPr="00A115CC">
        <w:rPr>
          <w:lang w:val="en-NZ"/>
        </w:rPr>
        <w:t>tellite services in the band</w:t>
      </w:r>
      <w:r w:rsidR="00CA2016">
        <w:rPr>
          <w:lang w:val="en-NZ"/>
        </w:rPr>
        <w:t>s</w:t>
      </w:r>
      <w:r w:rsidR="00CA2016" w:rsidRPr="00A115CC">
        <w:rPr>
          <w:lang w:val="en-NZ"/>
        </w:rPr>
        <w:t xml:space="preserve"> 1</w:t>
      </w:r>
      <w:r w:rsidR="00266DF2">
        <w:rPr>
          <w:lang w:val="en-NZ"/>
        </w:rPr>
        <w:t> </w:t>
      </w:r>
      <w:r w:rsidR="00CA2016" w:rsidRPr="00A115CC">
        <w:rPr>
          <w:lang w:val="en-NZ"/>
        </w:rPr>
        <w:t>980-2</w:t>
      </w:r>
      <w:r w:rsidR="00266DF2">
        <w:rPr>
          <w:lang w:val="en-NZ"/>
        </w:rPr>
        <w:t> </w:t>
      </w:r>
      <w:r w:rsidR="00CA2016" w:rsidRPr="00A115CC">
        <w:rPr>
          <w:lang w:val="en-NZ"/>
        </w:rPr>
        <w:t>010</w:t>
      </w:r>
      <w:r w:rsidR="00266DF2">
        <w:rPr>
          <w:lang w:val="en-NZ"/>
        </w:rPr>
        <w:t> </w:t>
      </w:r>
      <w:r w:rsidR="00CA2016" w:rsidRPr="00A115CC">
        <w:rPr>
          <w:lang w:val="en-NZ"/>
        </w:rPr>
        <w:t>MHz</w:t>
      </w:r>
      <w:r w:rsidR="00CA2016">
        <w:rPr>
          <w:lang w:val="en-NZ"/>
        </w:rPr>
        <w:t xml:space="preserve"> and </w:t>
      </w:r>
      <w:r w:rsidR="00CA2016" w:rsidRPr="00A115CC">
        <w:rPr>
          <w:lang w:val="en-NZ"/>
        </w:rPr>
        <w:t>2</w:t>
      </w:r>
      <w:r w:rsidR="00266DF2">
        <w:rPr>
          <w:lang w:val="en-NZ"/>
        </w:rPr>
        <w:t> </w:t>
      </w:r>
      <w:r w:rsidR="00CA2016" w:rsidRPr="00A115CC">
        <w:rPr>
          <w:lang w:val="en-NZ"/>
        </w:rPr>
        <w:t>170-2</w:t>
      </w:r>
      <w:r w:rsidR="00266DF2">
        <w:rPr>
          <w:lang w:val="en-NZ"/>
        </w:rPr>
        <w:t> </w:t>
      </w:r>
      <w:r w:rsidR="00CA2016" w:rsidRPr="00A115CC">
        <w:rPr>
          <w:lang w:val="en-NZ"/>
        </w:rPr>
        <w:t>200</w:t>
      </w:r>
      <w:r w:rsidR="00266DF2">
        <w:rPr>
          <w:lang w:val="en-NZ"/>
        </w:rPr>
        <w:t> </w:t>
      </w:r>
      <w:proofErr w:type="spellStart"/>
      <w:r w:rsidR="00CA2016" w:rsidRPr="00A115CC">
        <w:rPr>
          <w:lang w:val="en-NZ"/>
        </w:rPr>
        <w:t>MHz</w:t>
      </w:r>
      <w:r>
        <w:rPr>
          <w:lang w:val="en-NZ"/>
        </w:rPr>
        <w:t>.</w:t>
      </w:r>
      <w:proofErr w:type="spellEnd"/>
      <w:r w:rsidR="00CA2016" w:rsidRPr="00A115CC">
        <w:rPr>
          <w:lang w:val="en-NZ"/>
        </w:rPr>
        <w:t xml:space="preserve"> </w:t>
      </w:r>
      <w:r>
        <w:rPr>
          <w:lang w:val="en-NZ"/>
        </w:rPr>
        <w:t>I</w:t>
      </w:r>
      <w:r w:rsidR="00CA2016" w:rsidRPr="00A115CC">
        <w:rPr>
          <w:lang w:val="en-NZ"/>
        </w:rPr>
        <w:t xml:space="preserve">mplementation of these technical and operational measures could be considered for new services to be deployed after a specific future date decided by </w:t>
      </w:r>
      <w:r w:rsidR="00CA2016" w:rsidRPr="00FE4D5F">
        <w:rPr>
          <w:bCs/>
          <w:lang w:val="en-NZ"/>
        </w:rPr>
        <w:t>WRC-19</w:t>
      </w:r>
      <w:r w:rsidR="00CA2016" w:rsidRPr="00572F8F">
        <w:rPr>
          <w:lang w:val="en-NZ"/>
        </w:rPr>
        <w:t xml:space="preserve"> while</w:t>
      </w:r>
      <w:r w:rsidR="00CA2016" w:rsidRPr="00A115CC">
        <w:rPr>
          <w:lang w:val="en-NZ"/>
        </w:rPr>
        <w:t xml:space="preserve"> existing services already deployed before this date would not be constrained by these measures.</w:t>
      </w:r>
    </w:p>
    <w:p w:rsidR="00873E15" w:rsidRDefault="0030086A" w:rsidP="00266DF2">
      <w:pPr>
        <w:spacing w:before="120" w:after="60"/>
        <w:jc w:val="both"/>
      </w:pPr>
      <w:r w:rsidRPr="0076337F">
        <w:rPr>
          <w:rStyle w:val="Artdef"/>
          <w:rFonts w:asciiTheme="majorBidi" w:hAnsiTheme="majorBidi" w:cstheme="majorBidi"/>
          <w:b w:val="0"/>
          <w:bCs/>
          <w:lang w:eastAsia="zh-CN"/>
        </w:rPr>
        <w:t>Some APT Members expressed the view that</w:t>
      </w:r>
      <w:r>
        <w:rPr>
          <w:rFonts w:eastAsia="SimSun"/>
          <w:lang w:eastAsia="zh-CN"/>
        </w:rPr>
        <w:t xml:space="preserve"> </w:t>
      </w:r>
      <w:r w:rsidR="00BA44FA">
        <w:t>s</w:t>
      </w:r>
      <w:r w:rsidR="00873E15">
        <w:t xml:space="preserve">tudies should be conducted </w:t>
      </w:r>
      <w:r w:rsidR="00873E15" w:rsidRPr="00887A20">
        <w:t xml:space="preserve">with a view </w:t>
      </w:r>
      <w:r w:rsidR="00873E15">
        <w:t>of</w:t>
      </w:r>
      <w:r w:rsidR="00873E15" w:rsidRPr="00887A20">
        <w:t xml:space="preserve"> protecting terrestrial IMT </w:t>
      </w:r>
      <w:r w:rsidR="00873E15">
        <w:t xml:space="preserve">systems </w:t>
      </w:r>
      <w:r w:rsidR="00873E15" w:rsidRPr="00887A20">
        <w:t xml:space="preserve">operating in the </w:t>
      </w:r>
      <w:r w:rsidR="00873E15">
        <w:t xml:space="preserve">adjacent </w:t>
      </w:r>
      <w:r w:rsidR="00873E15" w:rsidRPr="00887A20">
        <w:t>frequency bands 1</w:t>
      </w:r>
      <w:r w:rsidR="00266DF2">
        <w:t> </w:t>
      </w:r>
      <w:r w:rsidR="00873E15" w:rsidRPr="00887A20">
        <w:t>920 – 1</w:t>
      </w:r>
      <w:r w:rsidR="00266DF2">
        <w:t> </w:t>
      </w:r>
      <w:r w:rsidR="00873E15" w:rsidRPr="00887A20">
        <w:t>980 MHz and 2</w:t>
      </w:r>
      <w:r w:rsidR="00266DF2">
        <w:t> </w:t>
      </w:r>
      <w:r w:rsidR="00873E15" w:rsidRPr="00887A20">
        <w:t>110–2</w:t>
      </w:r>
      <w:r w:rsidR="00266DF2">
        <w:t> </w:t>
      </w:r>
      <w:r w:rsidR="00873E15" w:rsidRPr="00887A20">
        <w:t>170</w:t>
      </w:r>
      <w:r w:rsidR="00266DF2">
        <w:t> </w:t>
      </w:r>
      <w:proofErr w:type="spellStart"/>
      <w:r w:rsidR="00873E15" w:rsidRPr="00887A20">
        <w:t>MH</w:t>
      </w:r>
      <w:r w:rsidR="00873E15">
        <w:t>z.</w:t>
      </w:r>
      <w:proofErr w:type="spellEnd"/>
    </w:p>
    <w:p w:rsidR="0033223F" w:rsidRDefault="00560CAD" w:rsidP="00266DF2">
      <w:pPr>
        <w:spacing w:before="120" w:after="60"/>
        <w:jc w:val="both"/>
      </w:pPr>
      <w:r w:rsidRPr="0076337F">
        <w:rPr>
          <w:rStyle w:val="Artdef"/>
          <w:rFonts w:asciiTheme="majorBidi" w:hAnsiTheme="majorBidi" w:cstheme="majorBidi"/>
          <w:b w:val="0"/>
          <w:bCs/>
          <w:lang w:eastAsia="zh-CN"/>
        </w:rPr>
        <w:t>Some APT Members expressed the view that</w:t>
      </w:r>
      <w:r>
        <w:rPr>
          <w:rFonts w:eastAsia="SimSun"/>
          <w:lang w:eastAsia="zh-CN"/>
        </w:rPr>
        <w:t xml:space="preserve"> p</w:t>
      </w:r>
      <w:r w:rsidR="0033223F">
        <w:rPr>
          <w:rFonts w:eastAsia="SimSun" w:hint="eastAsia"/>
          <w:lang w:eastAsia="zh-CN"/>
        </w:rPr>
        <w:t xml:space="preserve">reliminary </w:t>
      </w:r>
      <w:r w:rsidR="0033223F">
        <w:rPr>
          <w:rFonts w:eastAsia="SimSun"/>
          <w:lang w:eastAsia="zh-CN"/>
        </w:rPr>
        <w:t xml:space="preserve">results of sharing study show that potential harmful </w:t>
      </w:r>
      <w:r w:rsidR="0033223F" w:rsidRPr="00770950">
        <w:rPr>
          <w:rStyle w:val="Artdef"/>
          <w:rFonts w:asciiTheme="majorBidi" w:hAnsiTheme="majorBidi" w:cstheme="majorBidi"/>
          <w:b w:val="0"/>
        </w:rPr>
        <w:t>interference</w:t>
      </w:r>
      <w:r w:rsidR="0033223F">
        <w:rPr>
          <w:rFonts w:eastAsia="SimSun"/>
          <w:lang w:eastAsia="zh-CN"/>
        </w:rPr>
        <w:t xml:space="preserve"> would occur from terrestrial IMT BSs into satellites in the band 1</w:t>
      </w:r>
      <w:r w:rsidR="00266DF2">
        <w:rPr>
          <w:rFonts w:eastAsia="SimSun"/>
          <w:lang w:eastAsia="zh-CN"/>
        </w:rPr>
        <w:t> </w:t>
      </w:r>
      <w:r w:rsidR="0033223F">
        <w:rPr>
          <w:rFonts w:eastAsia="SimSun"/>
          <w:lang w:eastAsia="zh-CN"/>
        </w:rPr>
        <w:t>980-2</w:t>
      </w:r>
      <w:r w:rsidR="00266DF2">
        <w:rPr>
          <w:rFonts w:eastAsia="SimSun"/>
          <w:lang w:eastAsia="zh-CN"/>
        </w:rPr>
        <w:t> </w:t>
      </w:r>
      <w:r w:rsidR="0033223F">
        <w:rPr>
          <w:rFonts w:eastAsia="SimSun"/>
          <w:lang w:eastAsia="zh-CN"/>
        </w:rPr>
        <w:t>010</w:t>
      </w:r>
      <w:r w:rsidR="00266DF2">
        <w:rPr>
          <w:rFonts w:eastAsia="SimSun"/>
          <w:lang w:eastAsia="zh-CN"/>
        </w:rPr>
        <w:t> </w:t>
      </w:r>
      <w:r w:rsidR="0033223F">
        <w:rPr>
          <w:rFonts w:eastAsia="SimSun"/>
          <w:lang w:eastAsia="zh-CN"/>
        </w:rPr>
        <w:t>MHz and also from satellites into terrestrial IMT UEs in the band 2</w:t>
      </w:r>
      <w:r w:rsidR="00266DF2">
        <w:rPr>
          <w:rFonts w:eastAsia="SimSun"/>
          <w:lang w:eastAsia="zh-CN"/>
        </w:rPr>
        <w:t> </w:t>
      </w:r>
      <w:r w:rsidR="0033223F">
        <w:rPr>
          <w:rFonts w:eastAsia="SimSun"/>
          <w:lang w:eastAsia="zh-CN"/>
        </w:rPr>
        <w:t>170-2</w:t>
      </w:r>
      <w:r w:rsidR="00266DF2">
        <w:rPr>
          <w:rFonts w:eastAsia="SimSun"/>
          <w:lang w:eastAsia="zh-CN"/>
        </w:rPr>
        <w:t> </w:t>
      </w:r>
      <w:r w:rsidR="0033223F">
        <w:rPr>
          <w:rFonts w:eastAsia="SimSun"/>
          <w:lang w:eastAsia="zh-CN"/>
        </w:rPr>
        <w:t>200</w:t>
      </w:r>
      <w:r w:rsidR="00266DF2">
        <w:rPr>
          <w:rFonts w:eastAsia="SimSun"/>
          <w:lang w:eastAsia="zh-CN"/>
        </w:rPr>
        <w:t> </w:t>
      </w:r>
      <w:proofErr w:type="spellStart"/>
      <w:r w:rsidR="0033223F">
        <w:rPr>
          <w:rFonts w:eastAsia="SimSun"/>
          <w:lang w:eastAsia="zh-CN"/>
        </w:rPr>
        <w:t>MHz.</w:t>
      </w:r>
      <w:proofErr w:type="spellEnd"/>
      <w:r w:rsidR="0033223F">
        <w:rPr>
          <w:rFonts w:eastAsia="SimSun"/>
          <w:lang w:eastAsia="zh-CN"/>
        </w:rPr>
        <w:t xml:space="preserve"> </w:t>
      </w:r>
      <w:r w:rsidR="0033223F">
        <w:t>Therefore, it should be taken measures by both terrestrial IMT and satellite IMT systems to ensure coexistence and compatibility, as appropriate. The ITU-R studies regarding this issue have not been completed yet.</w:t>
      </w:r>
    </w:p>
    <w:p w:rsidR="0016348A" w:rsidRPr="0016348A" w:rsidRDefault="0016348A" w:rsidP="00266DF2">
      <w:pPr>
        <w:spacing w:before="120" w:after="60"/>
        <w:jc w:val="both"/>
        <w:rPr>
          <w:rStyle w:val="Artdef"/>
          <w:rFonts w:asciiTheme="majorBidi" w:eastAsia="Malgun Gothic" w:hAnsiTheme="majorBidi" w:cstheme="majorBidi"/>
          <w:b w:val="0"/>
          <w:bCs/>
          <w:snapToGrid w:val="0"/>
          <w:lang w:eastAsia="ko-KR"/>
        </w:rPr>
      </w:pPr>
      <w:r>
        <w:rPr>
          <w:rFonts w:eastAsia="Malgun Gothic"/>
          <w:bCs/>
          <w:snapToGrid w:val="0"/>
          <w:lang w:eastAsia="ko-KR"/>
        </w:rPr>
        <w:t>Some APT Members are</w:t>
      </w:r>
      <w:r w:rsidRPr="00BD09FE">
        <w:rPr>
          <w:lang w:eastAsia="ko-KR"/>
        </w:rPr>
        <w:t xml:space="preserve"> </w:t>
      </w:r>
      <w:r>
        <w:rPr>
          <w:lang w:eastAsia="ko-KR"/>
        </w:rPr>
        <w:t xml:space="preserve">of </w:t>
      </w:r>
      <w:r w:rsidRPr="00BD09FE">
        <w:rPr>
          <w:lang w:eastAsia="ko-KR"/>
        </w:rPr>
        <w:t>the view that</w:t>
      </w:r>
      <w:r>
        <w:rPr>
          <w:lang w:eastAsia="ko-KR"/>
        </w:rPr>
        <w:t xml:space="preserve"> the compatibility between stations in terrestrial component of IMT and earth stations in satellite component of IMT can be ensured by application of the current coordination procedure specified in the provisions of </w:t>
      </w:r>
      <w:r w:rsidRPr="00FE4D5F">
        <w:rPr>
          <w:bCs/>
          <w:lang w:eastAsia="ko-KR"/>
        </w:rPr>
        <w:t>RR</w:t>
      </w:r>
      <w:r w:rsidRPr="000E0B70">
        <w:rPr>
          <w:lang w:eastAsia="ko-KR"/>
        </w:rPr>
        <w:t xml:space="preserve"> </w:t>
      </w:r>
      <w:r w:rsidRPr="00FE4D5F">
        <w:rPr>
          <w:bCs/>
          <w:lang w:eastAsia="ko-KR"/>
        </w:rPr>
        <w:t>Article</w:t>
      </w:r>
      <w:r w:rsidRPr="000E0B70">
        <w:rPr>
          <w:lang w:eastAsia="ko-KR"/>
        </w:rPr>
        <w:t xml:space="preserve"> </w:t>
      </w:r>
      <w:r w:rsidRPr="00FE4D5F">
        <w:rPr>
          <w:lang w:eastAsia="ko-KR"/>
        </w:rPr>
        <w:t>9</w:t>
      </w:r>
      <w:r>
        <w:rPr>
          <w:lang w:eastAsia="ko-KR"/>
        </w:rPr>
        <w:t>.</w:t>
      </w:r>
    </w:p>
    <w:p w:rsidR="0076337F" w:rsidRPr="00652F36" w:rsidRDefault="0076337F" w:rsidP="0076337F">
      <w:pPr>
        <w:rPr>
          <w:lang w:val="en-NZ"/>
        </w:rPr>
      </w:pPr>
    </w:p>
    <w:p w:rsidR="006E7372" w:rsidRDefault="006E7372" w:rsidP="009A1FC3">
      <w:pPr>
        <w:pStyle w:val="ListParagraph"/>
        <w:numPr>
          <w:ilvl w:val="0"/>
          <w:numId w:val="30"/>
        </w:numPr>
        <w:spacing w:after="120"/>
        <w:ind w:left="720"/>
        <w:jc w:val="both"/>
        <w:rPr>
          <w:b/>
          <w:lang w:val="en-NZ"/>
        </w:rPr>
      </w:pPr>
      <w:r w:rsidRPr="008D046E">
        <w:rPr>
          <w:b/>
          <w:lang w:val="en-NZ" w:eastAsia="ko-KR"/>
        </w:rPr>
        <w:t xml:space="preserve">Issues for </w:t>
      </w:r>
      <w:r>
        <w:rPr>
          <w:b/>
          <w:lang w:val="en-NZ" w:eastAsia="ko-KR"/>
        </w:rPr>
        <w:t>C</w:t>
      </w:r>
      <w:r w:rsidRPr="008D046E">
        <w:rPr>
          <w:b/>
          <w:lang w:val="en-NZ" w:eastAsia="ko-KR"/>
        </w:rPr>
        <w:t xml:space="preserve">onsideration at </w:t>
      </w:r>
      <w:r>
        <w:rPr>
          <w:b/>
          <w:lang w:val="en-NZ" w:eastAsia="ko-KR"/>
        </w:rPr>
        <w:t>N</w:t>
      </w:r>
      <w:r w:rsidRPr="008D046E">
        <w:rPr>
          <w:b/>
          <w:lang w:val="en-NZ" w:eastAsia="ko-KR"/>
        </w:rPr>
        <w:t xml:space="preserve">ext APG </w:t>
      </w:r>
      <w:r>
        <w:rPr>
          <w:b/>
          <w:lang w:val="en-NZ" w:eastAsia="ko-KR"/>
        </w:rPr>
        <w:t>M</w:t>
      </w:r>
      <w:r w:rsidRPr="008D046E">
        <w:rPr>
          <w:b/>
          <w:lang w:val="en-NZ" w:eastAsia="ko-KR"/>
        </w:rPr>
        <w:t>eeting</w:t>
      </w:r>
      <w:r>
        <w:rPr>
          <w:b/>
          <w:lang w:val="en-NZ"/>
        </w:rPr>
        <w:t xml:space="preserve"> </w:t>
      </w:r>
    </w:p>
    <w:p w:rsidR="00786F7F" w:rsidRDefault="00786F7F" w:rsidP="0059335E">
      <w:pPr>
        <w:spacing w:before="120"/>
        <w:jc w:val="both"/>
        <w:rPr>
          <w:rFonts w:asciiTheme="majorBidi" w:hAnsiTheme="majorBidi" w:cstheme="majorBidi"/>
          <w:snapToGrid w:val="0"/>
          <w:lang w:val="en-AU"/>
        </w:rPr>
      </w:pPr>
      <w:r w:rsidRPr="00C573BC">
        <w:rPr>
          <w:rFonts w:asciiTheme="majorBidi" w:hAnsiTheme="majorBidi" w:cstheme="majorBidi"/>
          <w:snapToGrid w:val="0"/>
          <w:lang w:val="en-AU"/>
        </w:rPr>
        <w:t xml:space="preserve">APT </w:t>
      </w:r>
      <w:r w:rsidRPr="00C573BC">
        <w:rPr>
          <w:rFonts w:asciiTheme="majorBidi" w:hAnsiTheme="majorBidi" w:cstheme="majorBidi"/>
          <w:snapToGrid w:val="0"/>
          <w:lang w:val="en-AU" w:eastAsia="ja-JP"/>
        </w:rPr>
        <w:t>M</w:t>
      </w:r>
      <w:r w:rsidRPr="00C573BC">
        <w:rPr>
          <w:rFonts w:asciiTheme="majorBidi" w:hAnsiTheme="majorBidi" w:cstheme="majorBidi"/>
          <w:snapToGrid w:val="0"/>
          <w:lang w:val="en-AU"/>
        </w:rPr>
        <w:t xml:space="preserve">embers are encouraged to submit their contributions for further considerations in the next </w:t>
      </w:r>
      <w:r>
        <w:rPr>
          <w:rFonts w:asciiTheme="majorBidi" w:hAnsiTheme="majorBidi" w:cstheme="majorBidi"/>
          <w:snapToGrid w:val="0"/>
          <w:lang w:val="en-AU"/>
        </w:rPr>
        <w:t xml:space="preserve">APG19 </w:t>
      </w:r>
      <w:r w:rsidRPr="00C573BC">
        <w:rPr>
          <w:rFonts w:asciiTheme="majorBidi" w:hAnsiTheme="majorBidi" w:cstheme="majorBidi"/>
          <w:snapToGrid w:val="0"/>
          <w:lang w:val="en-AU"/>
        </w:rPr>
        <w:t>meetings</w:t>
      </w:r>
      <w:r>
        <w:rPr>
          <w:rFonts w:asciiTheme="majorBidi" w:hAnsiTheme="majorBidi" w:cstheme="majorBidi"/>
          <w:snapToGrid w:val="0"/>
          <w:lang w:val="en-AU"/>
        </w:rPr>
        <w:t>, taking into account progress of ITU-R studies</w:t>
      </w:r>
      <w:r w:rsidR="00BA44FA">
        <w:rPr>
          <w:rFonts w:asciiTheme="majorBidi" w:hAnsiTheme="majorBidi" w:cstheme="majorBidi"/>
          <w:snapToGrid w:val="0"/>
          <w:lang w:val="en-AU"/>
        </w:rPr>
        <w:t xml:space="preserve"> and draft CPM text</w:t>
      </w:r>
      <w:r w:rsidRPr="00C573BC">
        <w:rPr>
          <w:rFonts w:asciiTheme="majorBidi" w:hAnsiTheme="majorBidi" w:cstheme="majorBidi"/>
          <w:snapToGrid w:val="0"/>
          <w:lang w:val="en-AU"/>
        </w:rPr>
        <w:t>.</w:t>
      </w:r>
    </w:p>
    <w:p w:rsidR="00786F7F" w:rsidRDefault="00786F7F" w:rsidP="00786F7F">
      <w:pPr>
        <w:rPr>
          <w:lang w:val="en-NZ"/>
        </w:rPr>
      </w:pPr>
    </w:p>
    <w:p w:rsidR="000A335A" w:rsidRPr="0016348A" w:rsidRDefault="000A335A" w:rsidP="009A1FC3">
      <w:pPr>
        <w:pStyle w:val="ListParagraph"/>
        <w:numPr>
          <w:ilvl w:val="0"/>
          <w:numId w:val="30"/>
        </w:numPr>
        <w:spacing w:after="120"/>
        <w:ind w:left="720"/>
        <w:jc w:val="both"/>
        <w:rPr>
          <w:b/>
          <w:lang w:val="en-NZ"/>
        </w:rPr>
      </w:pPr>
      <w:r>
        <w:rPr>
          <w:b/>
          <w:lang w:val="en-NZ"/>
        </w:rPr>
        <w:t xml:space="preserve">Views </w:t>
      </w:r>
      <w:r w:rsidR="00572F8F" w:rsidRPr="0016348A">
        <w:rPr>
          <w:b/>
          <w:lang w:val="en-NZ"/>
        </w:rPr>
        <w:t xml:space="preserve">from </w:t>
      </w:r>
      <w:r w:rsidRPr="0016348A">
        <w:rPr>
          <w:b/>
          <w:lang w:val="en-NZ"/>
        </w:rPr>
        <w:t>Other Organizations</w:t>
      </w:r>
    </w:p>
    <w:p w:rsidR="00D53688" w:rsidRPr="0016348A" w:rsidRDefault="000A335A" w:rsidP="009A1FC3">
      <w:pPr>
        <w:pStyle w:val="ListParagraph"/>
        <w:numPr>
          <w:ilvl w:val="1"/>
          <w:numId w:val="25"/>
        </w:numPr>
        <w:ind w:left="720" w:hanging="720"/>
        <w:rPr>
          <w:b/>
          <w:lang w:val="en-NZ"/>
        </w:rPr>
      </w:pPr>
      <w:r w:rsidRPr="0016348A">
        <w:rPr>
          <w:b/>
          <w:lang w:val="en-NZ"/>
        </w:rPr>
        <w:lastRenderedPageBreak/>
        <w:t>Regional Groups</w:t>
      </w:r>
    </w:p>
    <w:p w:rsidR="00DF2DE9" w:rsidRPr="0016348A" w:rsidRDefault="00DF2DE9" w:rsidP="000A335A">
      <w:pPr>
        <w:pStyle w:val="ListParagraph"/>
        <w:numPr>
          <w:ilvl w:val="2"/>
          <w:numId w:val="25"/>
        </w:numPr>
        <w:tabs>
          <w:tab w:val="left" w:pos="900"/>
        </w:tabs>
        <w:rPr>
          <w:rFonts w:asciiTheme="majorBidi" w:hAnsiTheme="majorBidi" w:cstheme="majorBidi"/>
          <w:b/>
          <w:bCs/>
        </w:rPr>
      </w:pPr>
      <w:r w:rsidRPr="0016348A">
        <w:rPr>
          <w:rFonts w:asciiTheme="majorBidi" w:hAnsiTheme="majorBidi" w:cstheme="majorBidi"/>
          <w:b/>
          <w:bCs/>
        </w:rPr>
        <w:t>ASMG</w:t>
      </w:r>
      <w:r w:rsidR="00572F8F" w:rsidRPr="0016348A">
        <w:rPr>
          <w:rFonts w:asciiTheme="majorBidi" w:hAnsiTheme="majorBidi" w:cstheme="majorBidi"/>
          <w:b/>
          <w:bCs/>
        </w:rPr>
        <w:t xml:space="preserve"> – Document APG19-2/INF-01</w:t>
      </w:r>
    </w:p>
    <w:p w:rsidR="00DF2DE9" w:rsidRPr="0016348A" w:rsidRDefault="0077363D" w:rsidP="00DF2DE9">
      <w:pPr>
        <w:jc w:val="both"/>
        <w:rPr>
          <w:lang w:val="en-NZ" w:eastAsia="ko-KR"/>
        </w:rPr>
      </w:pPr>
      <w:r w:rsidRPr="0016348A">
        <w:rPr>
          <w:lang w:val="en-NZ"/>
        </w:rPr>
        <w:t xml:space="preserve">Follow up </w:t>
      </w:r>
      <w:r w:rsidRPr="0016348A">
        <w:rPr>
          <w:lang w:val="en-NZ" w:eastAsia="ko-KR"/>
        </w:rPr>
        <w:t>the</w:t>
      </w:r>
      <w:r w:rsidRPr="0016348A">
        <w:rPr>
          <w:lang w:val="en-NZ"/>
        </w:rPr>
        <w:t xml:space="preserve"> studie</w:t>
      </w:r>
      <w:r w:rsidRPr="0016348A">
        <w:rPr>
          <w:lang w:val="en-NZ" w:eastAsia="ko-KR"/>
        </w:rPr>
        <w:t xml:space="preserve">s on this issue in the ITU Radio Sector Working Groups and support </w:t>
      </w:r>
      <w:proofErr w:type="spellStart"/>
      <w:r w:rsidRPr="0016348A">
        <w:rPr>
          <w:lang w:val="en-NZ" w:eastAsia="ko-KR"/>
        </w:rPr>
        <w:t>technicalal</w:t>
      </w:r>
      <w:proofErr w:type="spellEnd"/>
      <w:r w:rsidRPr="0016348A">
        <w:rPr>
          <w:lang w:val="en-NZ" w:eastAsia="ko-KR"/>
        </w:rPr>
        <w:t xml:space="preserve">, operational and procedural measures for IMT systems to ensure compatibility between the terrestrial and satellite components of IMT systems in the frequency bands 1885-2025 MHz and 2110-2200 </w:t>
      </w:r>
      <w:proofErr w:type="spellStart"/>
      <w:r w:rsidRPr="0016348A">
        <w:rPr>
          <w:lang w:val="en-NZ" w:eastAsia="ko-KR"/>
        </w:rPr>
        <w:t>MHz.</w:t>
      </w:r>
      <w:proofErr w:type="spellEnd"/>
    </w:p>
    <w:p w:rsidR="0077363D" w:rsidRPr="0016348A" w:rsidRDefault="0077363D" w:rsidP="00DF2DE9">
      <w:pPr>
        <w:jc w:val="both"/>
        <w:rPr>
          <w:lang w:val="en-NZ"/>
        </w:rPr>
      </w:pPr>
      <w:r w:rsidRPr="0016348A">
        <w:rPr>
          <w:lang w:val="en-NZ" w:eastAsia="ko-KR"/>
        </w:rPr>
        <w:t>Invite Arab administrations to clarify their preference for using either the terrestrial component or the satellite component or both.</w:t>
      </w:r>
    </w:p>
    <w:p w:rsidR="00DF2DE9" w:rsidRPr="0016348A" w:rsidRDefault="00DF2DE9" w:rsidP="00DF2DE9">
      <w:pPr>
        <w:jc w:val="both"/>
        <w:rPr>
          <w:lang w:val="en-NZ"/>
        </w:rPr>
      </w:pPr>
    </w:p>
    <w:p w:rsidR="00DF2DE9" w:rsidRPr="0016348A" w:rsidRDefault="00DF2DE9" w:rsidP="000A335A">
      <w:pPr>
        <w:pStyle w:val="ListParagraph"/>
        <w:numPr>
          <w:ilvl w:val="2"/>
          <w:numId w:val="25"/>
        </w:numPr>
        <w:tabs>
          <w:tab w:val="left" w:pos="900"/>
        </w:tabs>
        <w:rPr>
          <w:rFonts w:asciiTheme="majorBidi" w:hAnsiTheme="majorBidi" w:cstheme="majorBidi"/>
          <w:b/>
          <w:bCs/>
        </w:rPr>
      </w:pPr>
      <w:r w:rsidRPr="0016348A">
        <w:rPr>
          <w:rFonts w:asciiTheme="majorBidi" w:hAnsiTheme="majorBidi" w:cstheme="majorBidi"/>
          <w:b/>
          <w:bCs/>
        </w:rPr>
        <w:t>ATU</w:t>
      </w:r>
      <w:r w:rsidR="00572F8F" w:rsidRPr="0016348A">
        <w:rPr>
          <w:rFonts w:asciiTheme="majorBidi" w:hAnsiTheme="majorBidi" w:cstheme="majorBidi"/>
          <w:b/>
          <w:bCs/>
        </w:rPr>
        <w:t xml:space="preserve"> – Document APG19-2/INF-07</w:t>
      </w:r>
    </w:p>
    <w:p w:rsidR="00572F8F" w:rsidRPr="00BF10B7" w:rsidRDefault="00572F8F" w:rsidP="00572F8F">
      <w:pPr>
        <w:ind w:firstLine="709"/>
        <w:jc w:val="both"/>
      </w:pPr>
      <w:r w:rsidRPr="0016348A">
        <w:t>No preliminary position on this agenda item yet.</w:t>
      </w:r>
    </w:p>
    <w:p w:rsidR="00DF2DE9" w:rsidRPr="00DF2DE9" w:rsidRDefault="00DF2DE9" w:rsidP="00DF2DE9">
      <w:pPr>
        <w:jc w:val="both"/>
        <w:rPr>
          <w:lang w:val="en-NZ"/>
        </w:rPr>
      </w:pPr>
    </w:p>
    <w:p w:rsidR="0095062F" w:rsidRPr="00467D93" w:rsidRDefault="0095062F" w:rsidP="000A335A">
      <w:pPr>
        <w:pStyle w:val="ListParagraph"/>
        <w:numPr>
          <w:ilvl w:val="2"/>
          <w:numId w:val="25"/>
        </w:numPr>
        <w:tabs>
          <w:tab w:val="left" w:pos="900"/>
        </w:tabs>
        <w:rPr>
          <w:rFonts w:asciiTheme="majorBidi" w:hAnsiTheme="majorBidi" w:cstheme="majorBidi"/>
          <w:b/>
          <w:bCs/>
        </w:rPr>
      </w:pPr>
      <w:r w:rsidRPr="006E7372">
        <w:rPr>
          <w:rFonts w:asciiTheme="majorBidi" w:hAnsiTheme="majorBidi" w:cstheme="majorBidi"/>
          <w:b/>
          <w:bCs/>
        </w:rPr>
        <w:t>CEPT</w:t>
      </w:r>
      <w:r w:rsidR="00892A88" w:rsidRPr="006E7372">
        <w:rPr>
          <w:rFonts w:asciiTheme="majorBidi" w:hAnsiTheme="majorBidi" w:cstheme="majorBidi"/>
          <w:b/>
          <w:bCs/>
        </w:rPr>
        <w:t>)</w:t>
      </w:r>
      <w:r w:rsidR="00467D93">
        <w:rPr>
          <w:rFonts w:asciiTheme="majorBidi" w:hAnsiTheme="majorBidi" w:cstheme="majorBidi"/>
          <w:b/>
          <w:bCs/>
        </w:rPr>
        <w:t xml:space="preserve"> – </w:t>
      </w:r>
      <w:r w:rsidR="00467D93" w:rsidRPr="00467D93">
        <w:rPr>
          <w:rFonts w:asciiTheme="majorBidi" w:hAnsiTheme="majorBidi" w:cstheme="majorBidi"/>
          <w:b/>
          <w:bCs/>
        </w:rPr>
        <w:t xml:space="preserve">Document </w:t>
      </w:r>
      <w:hyperlink r:id="rId33" w:history="1">
        <w:r w:rsidR="00467D93" w:rsidRPr="00467D93">
          <w:rPr>
            <w:rStyle w:val="Hyperlink"/>
            <w:b/>
            <w:bCs/>
          </w:rPr>
          <w:t>APG19-3/INF-6</w:t>
        </w:r>
      </w:hyperlink>
    </w:p>
    <w:p w:rsidR="00892A88" w:rsidRDefault="0095062F" w:rsidP="004E70A2">
      <w:pPr>
        <w:autoSpaceDE w:val="0"/>
        <w:autoSpaceDN w:val="0"/>
        <w:adjustRightInd w:val="0"/>
        <w:spacing w:before="120"/>
        <w:jc w:val="both"/>
        <w:rPr>
          <w:rFonts w:asciiTheme="majorBidi" w:eastAsia="Batang" w:hAnsiTheme="majorBidi" w:cstheme="majorBidi"/>
        </w:rPr>
      </w:pPr>
      <w:r w:rsidRPr="0095062F">
        <w:rPr>
          <w:rFonts w:asciiTheme="majorBidi" w:eastAsia="Batang" w:hAnsiTheme="majorBidi" w:cstheme="majorBidi"/>
        </w:rPr>
        <w:t>CEPT is of the view that it is required to carry out compatibility studies and to define compatibility conditions of terrestrial component of IMT (in the mobile service) and satellite GSO and NGSO systems (in the mobile satellite service) in the frequency bands 1</w:t>
      </w:r>
      <w:r w:rsidR="004E70A2">
        <w:rPr>
          <w:rFonts w:asciiTheme="majorBidi" w:eastAsia="Batang" w:hAnsiTheme="majorBidi" w:cstheme="majorBidi"/>
        </w:rPr>
        <w:t> </w:t>
      </w:r>
      <w:r w:rsidRPr="0095062F">
        <w:rPr>
          <w:rFonts w:asciiTheme="majorBidi" w:eastAsia="Batang" w:hAnsiTheme="majorBidi" w:cstheme="majorBidi"/>
        </w:rPr>
        <w:t>980</w:t>
      </w:r>
      <w:r w:rsidR="004E70A2">
        <w:rPr>
          <w:rFonts w:asciiTheme="majorBidi" w:eastAsia="Batang" w:hAnsiTheme="majorBidi" w:cstheme="majorBidi"/>
        </w:rPr>
        <w:t>–</w:t>
      </w:r>
      <w:r w:rsidRPr="0095062F">
        <w:rPr>
          <w:rFonts w:asciiTheme="majorBidi" w:eastAsia="Batang" w:hAnsiTheme="majorBidi" w:cstheme="majorBidi"/>
        </w:rPr>
        <w:t>2</w:t>
      </w:r>
      <w:r w:rsidR="004E70A2">
        <w:rPr>
          <w:rFonts w:asciiTheme="majorBidi" w:eastAsia="Batang" w:hAnsiTheme="majorBidi" w:cstheme="majorBidi"/>
        </w:rPr>
        <w:t> </w:t>
      </w:r>
      <w:r w:rsidRPr="0095062F">
        <w:rPr>
          <w:rFonts w:asciiTheme="majorBidi" w:eastAsia="Batang" w:hAnsiTheme="majorBidi" w:cstheme="majorBidi"/>
        </w:rPr>
        <w:t>010</w:t>
      </w:r>
      <w:r w:rsidR="004E70A2">
        <w:rPr>
          <w:rFonts w:asciiTheme="majorBidi" w:eastAsia="Batang" w:hAnsiTheme="majorBidi" w:cstheme="majorBidi"/>
        </w:rPr>
        <w:t> </w:t>
      </w:r>
      <w:r w:rsidRPr="0095062F">
        <w:rPr>
          <w:rFonts w:asciiTheme="majorBidi" w:eastAsia="Batang" w:hAnsiTheme="majorBidi" w:cstheme="majorBidi"/>
        </w:rPr>
        <w:t>MHz and 2</w:t>
      </w:r>
      <w:r w:rsidR="004E70A2">
        <w:rPr>
          <w:rFonts w:asciiTheme="majorBidi" w:eastAsia="Batang" w:hAnsiTheme="majorBidi" w:cstheme="majorBidi"/>
        </w:rPr>
        <w:t> </w:t>
      </w:r>
      <w:r w:rsidRPr="0095062F">
        <w:rPr>
          <w:rFonts w:asciiTheme="majorBidi" w:eastAsia="Batang" w:hAnsiTheme="majorBidi" w:cstheme="majorBidi"/>
        </w:rPr>
        <w:t>170</w:t>
      </w:r>
      <w:r w:rsidR="004E70A2">
        <w:rPr>
          <w:rFonts w:asciiTheme="majorBidi" w:eastAsia="Batang" w:hAnsiTheme="majorBidi" w:cstheme="majorBidi"/>
        </w:rPr>
        <w:t>–</w:t>
      </w:r>
      <w:r w:rsidRPr="0095062F">
        <w:rPr>
          <w:rFonts w:asciiTheme="majorBidi" w:eastAsia="Batang" w:hAnsiTheme="majorBidi" w:cstheme="majorBidi"/>
        </w:rPr>
        <w:t>2</w:t>
      </w:r>
      <w:r w:rsidR="004E70A2">
        <w:rPr>
          <w:rFonts w:asciiTheme="majorBidi" w:eastAsia="Batang" w:hAnsiTheme="majorBidi" w:cstheme="majorBidi"/>
        </w:rPr>
        <w:t> </w:t>
      </w:r>
      <w:r w:rsidRPr="0095062F">
        <w:rPr>
          <w:rFonts w:asciiTheme="majorBidi" w:eastAsia="Batang" w:hAnsiTheme="majorBidi" w:cstheme="majorBidi"/>
        </w:rPr>
        <w:t>200</w:t>
      </w:r>
      <w:r w:rsidR="004E70A2">
        <w:rPr>
          <w:rFonts w:asciiTheme="majorBidi" w:eastAsia="Batang" w:hAnsiTheme="majorBidi" w:cstheme="majorBidi"/>
        </w:rPr>
        <w:t> </w:t>
      </w:r>
      <w:r w:rsidRPr="0095062F">
        <w:rPr>
          <w:rFonts w:asciiTheme="majorBidi" w:eastAsia="Batang" w:hAnsiTheme="majorBidi" w:cstheme="majorBidi"/>
        </w:rPr>
        <w:t>MHz</w:t>
      </w:r>
      <w:r w:rsidR="00892A88">
        <w:rPr>
          <w:rFonts w:asciiTheme="majorBidi" w:eastAsia="Batang" w:hAnsiTheme="majorBidi" w:cstheme="majorBidi"/>
        </w:rPr>
        <w:t xml:space="preserve"> </w:t>
      </w:r>
      <w:r w:rsidRPr="0095062F">
        <w:rPr>
          <w:rFonts w:asciiTheme="majorBidi" w:eastAsia="Batang" w:hAnsiTheme="majorBidi" w:cstheme="majorBidi"/>
        </w:rPr>
        <w:t xml:space="preserve">considering the case that these frequency bands are used by the mobile service and mobile satellite service in different countries. </w:t>
      </w:r>
    </w:p>
    <w:p w:rsidR="0095062F" w:rsidRDefault="0095062F" w:rsidP="004E70A2">
      <w:pPr>
        <w:autoSpaceDE w:val="0"/>
        <w:autoSpaceDN w:val="0"/>
        <w:adjustRightInd w:val="0"/>
        <w:spacing w:before="120"/>
        <w:jc w:val="both"/>
        <w:rPr>
          <w:rFonts w:asciiTheme="majorBidi" w:eastAsia="Batang" w:hAnsiTheme="majorBidi" w:cstheme="majorBidi"/>
        </w:rPr>
      </w:pPr>
      <w:r w:rsidRPr="0095062F">
        <w:rPr>
          <w:rFonts w:asciiTheme="majorBidi" w:eastAsia="Batang" w:hAnsiTheme="majorBidi" w:cstheme="majorBidi"/>
        </w:rPr>
        <w:t>CEPT supports adequate measures for protection of MSS satellites from harmful interference from the terrestrial component of IMT, taking into account that the bands 1</w:t>
      </w:r>
      <w:r w:rsidR="004E70A2">
        <w:rPr>
          <w:rFonts w:asciiTheme="majorBidi" w:eastAsia="Batang" w:hAnsiTheme="majorBidi" w:cstheme="majorBidi"/>
        </w:rPr>
        <w:t> </w:t>
      </w:r>
      <w:r w:rsidRPr="0095062F">
        <w:rPr>
          <w:rFonts w:asciiTheme="majorBidi" w:eastAsia="Batang" w:hAnsiTheme="majorBidi" w:cstheme="majorBidi"/>
        </w:rPr>
        <w:t>980</w:t>
      </w:r>
      <w:r w:rsidR="004E70A2">
        <w:rPr>
          <w:rFonts w:asciiTheme="majorBidi" w:eastAsia="Batang" w:hAnsiTheme="majorBidi" w:cstheme="majorBidi"/>
        </w:rPr>
        <w:t>–</w:t>
      </w:r>
      <w:r w:rsidRPr="0095062F">
        <w:rPr>
          <w:rFonts w:asciiTheme="majorBidi" w:eastAsia="Batang" w:hAnsiTheme="majorBidi" w:cstheme="majorBidi"/>
        </w:rPr>
        <w:t>2</w:t>
      </w:r>
      <w:r w:rsidR="004E70A2">
        <w:rPr>
          <w:rFonts w:asciiTheme="majorBidi" w:eastAsia="Batang" w:hAnsiTheme="majorBidi" w:cstheme="majorBidi"/>
        </w:rPr>
        <w:t> </w:t>
      </w:r>
      <w:r w:rsidRPr="0095062F">
        <w:rPr>
          <w:rFonts w:asciiTheme="majorBidi" w:eastAsia="Batang" w:hAnsiTheme="majorBidi" w:cstheme="majorBidi"/>
        </w:rPr>
        <w:t>010</w:t>
      </w:r>
      <w:r w:rsidR="004E70A2">
        <w:rPr>
          <w:rFonts w:asciiTheme="majorBidi" w:eastAsia="Batang" w:hAnsiTheme="majorBidi" w:cstheme="majorBidi"/>
        </w:rPr>
        <w:t> </w:t>
      </w:r>
      <w:r w:rsidRPr="0095062F">
        <w:rPr>
          <w:rFonts w:asciiTheme="majorBidi" w:eastAsia="Batang" w:hAnsiTheme="majorBidi" w:cstheme="majorBidi"/>
        </w:rPr>
        <w:t>MHz and 2</w:t>
      </w:r>
      <w:r w:rsidR="004E70A2">
        <w:rPr>
          <w:rFonts w:asciiTheme="majorBidi" w:eastAsia="Batang" w:hAnsiTheme="majorBidi" w:cstheme="majorBidi"/>
        </w:rPr>
        <w:t> </w:t>
      </w:r>
      <w:r w:rsidRPr="0095062F">
        <w:rPr>
          <w:rFonts w:asciiTheme="majorBidi" w:eastAsia="Batang" w:hAnsiTheme="majorBidi" w:cstheme="majorBidi"/>
        </w:rPr>
        <w:t>170</w:t>
      </w:r>
      <w:r w:rsidR="004E70A2">
        <w:rPr>
          <w:rFonts w:asciiTheme="majorBidi" w:eastAsia="Batang" w:hAnsiTheme="majorBidi" w:cstheme="majorBidi"/>
        </w:rPr>
        <w:t>–</w:t>
      </w:r>
      <w:r w:rsidRPr="0095062F">
        <w:rPr>
          <w:rFonts w:asciiTheme="majorBidi" w:eastAsia="Batang" w:hAnsiTheme="majorBidi" w:cstheme="majorBidi"/>
        </w:rPr>
        <w:t>2</w:t>
      </w:r>
      <w:r w:rsidR="004E70A2">
        <w:rPr>
          <w:rFonts w:asciiTheme="majorBidi" w:eastAsia="Batang" w:hAnsiTheme="majorBidi" w:cstheme="majorBidi"/>
        </w:rPr>
        <w:t> </w:t>
      </w:r>
      <w:r w:rsidRPr="0095062F">
        <w:rPr>
          <w:rFonts w:asciiTheme="majorBidi" w:eastAsia="Batang" w:hAnsiTheme="majorBidi" w:cstheme="majorBidi"/>
        </w:rPr>
        <w:t>200</w:t>
      </w:r>
      <w:r w:rsidR="004E70A2">
        <w:rPr>
          <w:rFonts w:asciiTheme="majorBidi" w:eastAsia="Batang" w:hAnsiTheme="majorBidi" w:cstheme="majorBidi"/>
        </w:rPr>
        <w:t> </w:t>
      </w:r>
      <w:r w:rsidRPr="0095062F">
        <w:rPr>
          <w:rFonts w:asciiTheme="majorBidi" w:eastAsia="Batang" w:hAnsiTheme="majorBidi" w:cstheme="majorBidi"/>
        </w:rPr>
        <w:t xml:space="preserve">MHz are </w:t>
      </w:r>
      <w:proofErr w:type="spellStart"/>
      <w:r w:rsidRPr="0095062F">
        <w:rPr>
          <w:rFonts w:asciiTheme="majorBidi" w:eastAsia="Batang" w:hAnsiTheme="majorBidi" w:cstheme="majorBidi"/>
        </w:rPr>
        <w:t>prioritised</w:t>
      </w:r>
      <w:proofErr w:type="spellEnd"/>
      <w:r w:rsidRPr="0095062F">
        <w:rPr>
          <w:rFonts w:asciiTheme="majorBidi" w:eastAsia="Batang" w:hAnsiTheme="majorBidi" w:cstheme="majorBidi"/>
        </w:rPr>
        <w:t xml:space="preserve"> for MSS use in CEPT. For example, this can be achieved by limiting the </w:t>
      </w:r>
      <w:proofErr w:type="spellStart"/>
      <w:r w:rsidRPr="0095062F">
        <w:rPr>
          <w:rFonts w:asciiTheme="majorBidi" w:eastAsia="Batang" w:hAnsiTheme="majorBidi" w:cstheme="majorBidi"/>
        </w:rPr>
        <w:t>e.i.r.p</w:t>
      </w:r>
      <w:proofErr w:type="spellEnd"/>
      <w:r w:rsidRPr="0095062F">
        <w:rPr>
          <w:rFonts w:asciiTheme="majorBidi" w:eastAsia="Batang" w:hAnsiTheme="majorBidi" w:cstheme="majorBidi"/>
        </w:rPr>
        <w:t>. of stations in the uplink band (1</w:t>
      </w:r>
      <w:r w:rsidR="004E70A2">
        <w:rPr>
          <w:rFonts w:asciiTheme="majorBidi" w:eastAsia="Batang" w:hAnsiTheme="majorBidi" w:cstheme="majorBidi"/>
        </w:rPr>
        <w:t> </w:t>
      </w:r>
      <w:r w:rsidRPr="0095062F">
        <w:rPr>
          <w:rFonts w:asciiTheme="majorBidi" w:eastAsia="Batang" w:hAnsiTheme="majorBidi" w:cstheme="majorBidi"/>
        </w:rPr>
        <w:t>980</w:t>
      </w:r>
      <w:r w:rsidR="004E70A2">
        <w:rPr>
          <w:rFonts w:asciiTheme="majorBidi" w:eastAsia="Batang" w:hAnsiTheme="majorBidi" w:cstheme="majorBidi"/>
        </w:rPr>
        <w:t>–</w:t>
      </w:r>
      <w:r w:rsidRPr="0095062F">
        <w:rPr>
          <w:rFonts w:asciiTheme="majorBidi" w:eastAsia="Batang" w:hAnsiTheme="majorBidi" w:cstheme="majorBidi"/>
        </w:rPr>
        <w:t>2</w:t>
      </w:r>
      <w:r w:rsidR="004E70A2">
        <w:rPr>
          <w:rFonts w:asciiTheme="majorBidi" w:eastAsia="Batang" w:hAnsiTheme="majorBidi" w:cstheme="majorBidi"/>
        </w:rPr>
        <w:t> </w:t>
      </w:r>
      <w:r w:rsidRPr="0095062F">
        <w:rPr>
          <w:rFonts w:asciiTheme="majorBidi" w:eastAsia="Batang" w:hAnsiTheme="majorBidi" w:cstheme="majorBidi"/>
        </w:rPr>
        <w:t>010</w:t>
      </w:r>
      <w:r w:rsidR="004E70A2">
        <w:rPr>
          <w:rFonts w:asciiTheme="majorBidi" w:eastAsia="Batang" w:hAnsiTheme="majorBidi" w:cstheme="majorBidi"/>
        </w:rPr>
        <w:t> </w:t>
      </w:r>
      <w:r w:rsidRPr="0095062F">
        <w:rPr>
          <w:rFonts w:asciiTheme="majorBidi" w:eastAsia="Batang" w:hAnsiTheme="majorBidi" w:cstheme="majorBidi"/>
        </w:rPr>
        <w:t>MHz) or limiting the use of this band to the transmission from terminals to base stations. There is no requirement for additional</w:t>
      </w:r>
      <w:r w:rsidR="00892A88">
        <w:rPr>
          <w:rFonts w:asciiTheme="majorBidi" w:eastAsia="Batang" w:hAnsiTheme="majorBidi" w:cstheme="majorBidi"/>
        </w:rPr>
        <w:t xml:space="preserve"> </w:t>
      </w:r>
      <w:r w:rsidRPr="0095062F">
        <w:rPr>
          <w:rFonts w:asciiTheme="majorBidi" w:eastAsia="Batang" w:hAnsiTheme="majorBidi" w:cstheme="majorBidi"/>
        </w:rPr>
        <w:t>measures to manage potential interference between the terrestrial IMT systems and MSS earth stations.</w:t>
      </w:r>
    </w:p>
    <w:p w:rsidR="00724145" w:rsidRPr="0095062F" w:rsidRDefault="00724145" w:rsidP="00892A88">
      <w:pPr>
        <w:autoSpaceDE w:val="0"/>
        <w:autoSpaceDN w:val="0"/>
        <w:adjustRightInd w:val="0"/>
        <w:spacing w:before="120"/>
        <w:jc w:val="both"/>
        <w:rPr>
          <w:rFonts w:asciiTheme="majorBidi" w:hAnsiTheme="majorBidi" w:cstheme="majorBidi"/>
          <w:lang w:val="en-NZ"/>
        </w:rPr>
      </w:pPr>
    </w:p>
    <w:p w:rsidR="00724145" w:rsidRPr="00467D93" w:rsidRDefault="00724145" w:rsidP="00467D93">
      <w:pPr>
        <w:pStyle w:val="ListParagraph"/>
        <w:numPr>
          <w:ilvl w:val="2"/>
          <w:numId w:val="25"/>
        </w:numPr>
        <w:tabs>
          <w:tab w:val="left" w:pos="900"/>
        </w:tabs>
        <w:rPr>
          <w:rFonts w:asciiTheme="majorBidi" w:hAnsiTheme="majorBidi" w:cstheme="majorBidi"/>
          <w:b/>
          <w:bCs/>
        </w:rPr>
      </w:pPr>
      <w:r w:rsidRPr="00467D93">
        <w:rPr>
          <w:rFonts w:asciiTheme="majorBidi" w:hAnsiTheme="majorBidi" w:cstheme="majorBidi"/>
          <w:b/>
          <w:bCs/>
        </w:rPr>
        <w:t>CITEL</w:t>
      </w:r>
      <w:r w:rsidR="00467D93">
        <w:rPr>
          <w:rFonts w:asciiTheme="majorBidi" w:hAnsiTheme="majorBidi" w:cstheme="majorBidi"/>
          <w:b/>
          <w:bCs/>
        </w:rPr>
        <w:t xml:space="preserve"> –</w:t>
      </w:r>
      <w:r w:rsidR="00467D93" w:rsidRPr="00467D93">
        <w:rPr>
          <w:rFonts w:asciiTheme="majorBidi" w:hAnsiTheme="majorBidi" w:cstheme="majorBidi"/>
          <w:b/>
          <w:bCs/>
        </w:rPr>
        <w:t xml:space="preserve">Document </w:t>
      </w:r>
      <w:hyperlink r:id="rId34" w:tgtFrame="_blank" w:history="1">
        <w:r w:rsidR="00467D93" w:rsidRPr="00467D93">
          <w:rPr>
            <w:rStyle w:val="Hyperlink"/>
            <w:b/>
            <w:bCs/>
          </w:rPr>
          <w:t>APG19-3/INF-08</w:t>
        </w:r>
      </w:hyperlink>
      <w:r w:rsidR="00572F8F">
        <w:rPr>
          <w:rStyle w:val="Hyperlink"/>
          <w:b/>
          <w:bCs/>
        </w:rPr>
        <w:t>Rev.1</w:t>
      </w:r>
    </w:p>
    <w:p w:rsidR="00D53688" w:rsidRDefault="00F065A3" w:rsidP="00724145">
      <w:pPr>
        <w:autoSpaceDE w:val="0"/>
        <w:autoSpaceDN w:val="0"/>
        <w:adjustRightInd w:val="0"/>
        <w:spacing w:before="120"/>
        <w:jc w:val="both"/>
        <w:rPr>
          <w:lang w:val="en-NZ"/>
        </w:rPr>
      </w:pPr>
      <w:r>
        <w:rPr>
          <w:lang w:bidi="fa-IR"/>
        </w:rPr>
        <w:t>(Preliminary</w:t>
      </w:r>
      <w:r w:rsidR="000A335A">
        <w:rPr>
          <w:lang w:bidi="fa-IR"/>
        </w:rPr>
        <w:t xml:space="preserve"> </w:t>
      </w:r>
      <w:r w:rsidR="001D6499">
        <w:rPr>
          <w:lang w:bidi="fa-IR"/>
        </w:rPr>
        <w:t>View :</w:t>
      </w:r>
      <w:r>
        <w:rPr>
          <w:lang w:bidi="fa-IR"/>
        </w:rPr>
        <w:t xml:space="preserve">) </w:t>
      </w:r>
      <w:r w:rsidR="00724145">
        <w:rPr>
          <w:lang w:bidi="fa-IR"/>
        </w:rPr>
        <w:t>Need to ensure compatibility of both IMT components in neighboring countries without undue constraints.</w:t>
      </w:r>
    </w:p>
    <w:p w:rsidR="00D53688" w:rsidRDefault="00D53688" w:rsidP="00D53688">
      <w:pPr>
        <w:rPr>
          <w:b/>
          <w:lang w:val="en-NZ"/>
        </w:rPr>
      </w:pPr>
    </w:p>
    <w:p w:rsidR="003D6E1F" w:rsidRPr="004F4738" w:rsidRDefault="003D6E1F" w:rsidP="004F4738">
      <w:pPr>
        <w:pStyle w:val="ListParagraph"/>
        <w:numPr>
          <w:ilvl w:val="2"/>
          <w:numId w:val="25"/>
        </w:numPr>
        <w:tabs>
          <w:tab w:val="left" w:pos="900"/>
        </w:tabs>
        <w:rPr>
          <w:rFonts w:asciiTheme="majorBidi" w:hAnsiTheme="majorBidi" w:cstheme="majorBidi"/>
          <w:b/>
          <w:bCs/>
        </w:rPr>
      </w:pPr>
      <w:r w:rsidRPr="004F4738">
        <w:rPr>
          <w:rFonts w:asciiTheme="majorBidi" w:hAnsiTheme="majorBidi" w:cstheme="majorBidi"/>
          <w:b/>
          <w:bCs/>
        </w:rPr>
        <w:t>RCC</w:t>
      </w:r>
      <w:r w:rsidR="004F4738" w:rsidRPr="004F4738">
        <w:rPr>
          <w:rFonts w:asciiTheme="majorBidi" w:hAnsiTheme="majorBidi" w:cstheme="majorBidi"/>
          <w:b/>
          <w:bCs/>
        </w:rPr>
        <w:t xml:space="preserve"> </w:t>
      </w:r>
      <w:r w:rsidR="0016348A">
        <w:rPr>
          <w:rFonts w:asciiTheme="majorBidi" w:hAnsiTheme="majorBidi" w:cstheme="majorBidi"/>
          <w:b/>
          <w:bCs/>
        </w:rPr>
        <w:t xml:space="preserve">– </w:t>
      </w:r>
      <w:r w:rsidR="004F4738" w:rsidRPr="004F4738">
        <w:rPr>
          <w:rFonts w:asciiTheme="majorBidi" w:hAnsiTheme="majorBidi" w:cstheme="majorBidi"/>
          <w:b/>
          <w:bCs/>
        </w:rPr>
        <w:t xml:space="preserve">Document </w:t>
      </w:r>
      <w:hyperlink r:id="rId35" w:tgtFrame="_blank" w:history="1">
        <w:r w:rsidR="004F4738" w:rsidRPr="004F4738">
          <w:rPr>
            <w:rStyle w:val="Hyperlink"/>
            <w:rFonts w:asciiTheme="majorBidi" w:hAnsiTheme="majorBidi" w:cstheme="majorBidi"/>
            <w:b/>
            <w:bCs/>
          </w:rPr>
          <w:t>APG19-2/INF-05</w:t>
        </w:r>
      </w:hyperlink>
    </w:p>
    <w:p w:rsidR="00AB6DD5" w:rsidRPr="00AB6DD5" w:rsidRDefault="00AB6DD5" w:rsidP="004E70A2">
      <w:pPr>
        <w:spacing w:before="120" w:after="60"/>
        <w:jc w:val="both"/>
        <w:rPr>
          <w:rFonts w:asciiTheme="majorBidi" w:hAnsiTheme="majorBidi" w:cstheme="majorBidi"/>
          <w:color w:val="000000"/>
        </w:rPr>
      </w:pPr>
      <w:r w:rsidRPr="00AB6DD5">
        <w:rPr>
          <w:rFonts w:asciiTheme="majorBidi" w:hAnsiTheme="majorBidi" w:cstheme="majorBidi"/>
          <w:color w:val="000000"/>
        </w:rPr>
        <w:t xml:space="preserve">The RCC Administrations are in </w:t>
      </w:r>
      <w:proofErr w:type="spellStart"/>
      <w:r w:rsidRPr="00AB6DD5">
        <w:rPr>
          <w:rFonts w:asciiTheme="majorBidi" w:hAnsiTheme="majorBidi" w:cstheme="majorBidi"/>
          <w:color w:val="000000"/>
        </w:rPr>
        <w:t>favour</w:t>
      </w:r>
      <w:proofErr w:type="spellEnd"/>
      <w:r w:rsidRPr="00AB6DD5">
        <w:rPr>
          <w:rFonts w:asciiTheme="majorBidi" w:hAnsiTheme="majorBidi" w:cstheme="majorBidi"/>
          <w:color w:val="000000"/>
        </w:rPr>
        <w:t xml:space="preserve"> of development of technical and operational measures as well as regulatory provisions with regard to IMT systems in order to ensure compatibility between IMT terrestrial component (in mobile service) and IMT satellite component (in mobile-satellite service), including GSO and non-GSO systems, in the frequency bands 1 980−2 010</w:t>
      </w:r>
      <w:r w:rsidR="004E70A2">
        <w:rPr>
          <w:rFonts w:asciiTheme="majorBidi" w:hAnsiTheme="majorBidi" w:cstheme="majorBidi"/>
          <w:color w:val="000000"/>
        </w:rPr>
        <w:t> </w:t>
      </w:r>
      <w:r w:rsidRPr="00AB6DD5">
        <w:rPr>
          <w:rFonts w:asciiTheme="majorBidi" w:hAnsiTheme="majorBidi" w:cstheme="majorBidi"/>
          <w:color w:val="000000"/>
        </w:rPr>
        <w:t>MHz and 2 170−2 200</w:t>
      </w:r>
      <w:r w:rsidR="004E70A2">
        <w:rPr>
          <w:rFonts w:asciiTheme="majorBidi" w:hAnsiTheme="majorBidi" w:cstheme="majorBidi"/>
          <w:color w:val="000000"/>
        </w:rPr>
        <w:t> </w:t>
      </w:r>
      <w:r w:rsidRPr="00AB6DD5">
        <w:rPr>
          <w:rFonts w:asciiTheme="majorBidi" w:hAnsiTheme="majorBidi" w:cstheme="majorBidi"/>
          <w:color w:val="000000"/>
        </w:rPr>
        <w:t>MHz where those frequency bands are shared by mobile service and the mobile-satellite service in different countries.</w:t>
      </w:r>
    </w:p>
    <w:p w:rsidR="00AB6DD5" w:rsidRPr="00AB6DD5" w:rsidRDefault="00AB6DD5" w:rsidP="00AB6DD5">
      <w:pPr>
        <w:spacing w:after="60"/>
        <w:jc w:val="both"/>
        <w:rPr>
          <w:rFonts w:asciiTheme="majorBidi" w:hAnsiTheme="majorBidi" w:cstheme="majorBidi"/>
          <w:color w:val="000000"/>
        </w:rPr>
      </w:pPr>
      <w:r w:rsidRPr="00AB6DD5">
        <w:rPr>
          <w:rFonts w:asciiTheme="majorBidi" w:hAnsiTheme="majorBidi" w:cstheme="majorBidi"/>
          <w:color w:val="000000"/>
        </w:rPr>
        <w:t>The RCC Administrations consider that when developing technical and operational measures with regard to terrestrial IMT systems only those characteristics of terrestrial IMT systems which are specified in ITU-R Recommendations and Reports should be used.</w:t>
      </w:r>
    </w:p>
    <w:p w:rsidR="003D6E1F" w:rsidRDefault="003D6E1F" w:rsidP="00D53688">
      <w:pPr>
        <w:rPr>
          <w:b/>
          <w:lang w:val="en-NZ"/>
        </w:rPr>
      </w:pPr>
    </w:p>
    <w:p w:rsidR="00B64A60" w:rsidRDefault="000A335A" w:rsidP="000A335A">
      <w:pPr>
        <w:pStyle w:val="ListParagraph"/>
        <w:numPr>
          <w:ilvl w:val="1"/>
          <w:numId w:val="25"/>
        </w:numPr>
        <w:ind w:left="720" w:hanging="720"/>
        <w:rPr>
          <w:b/>
          <w:lang w:val="en-NZ"/>
        </w:rPr>
      </w:pPr>
      <w:r w:rsidRPr="000A335A">
        <w:rPr>
          <w:b/>
          <w:lang w:val="en-NZ"/>
        </w:rPr>
        <w:t>International Organizations</w:t>
      </w:r>
    </w:p>
    <w:p w:rsidR="0016348A" w:rsidRPr="000A335A" w:rsidRDefault="0016348A" w:rsidP="00FE4D5F">
      <w:pPr>
        <w:pStyle w:val="ListParagraph"/>
        <w:rPr>
          <w:b/>
          <w:lang w:val="en-NZ"/>
        </w:rPr>
      </w:pPr>
    </w:p>
    <w:p w:rsidR="00B64A60" w:rsidRPr="00460A82" w:rsidRDefault="006826C1" w:rsidP="006826C1">
      <w:pPr>
        <w:pStyle w:val="ListParagraph"/>
        <w:numPr>
          <w:ilvl w:val="2"/>
          <w:numId w:val="25"/>
        </w:numPr>
        <w:jc w:val="both"/>
        <w:rPr>
          <w:b/>
          <w:bCs/>
          <w:lang w:val="en-NZ"/>
        </w:rPr>
      </w:pPr>
      <w:r w:rsidRPr="00D615B2">
        <w:rPr>
          <w:b/>
          <w:bCs/>
          <w:lang w:val="en-NZ"/>
        </w:rPr>
        <w:t>Internationa</w:t>
      </w:r>
      <w:bookmarkStart w:id="0" w:name="_GoBack"/>
      <w:bookmarkEnd w:id="0"/>
      <w:r w:rsidRPr="00D615B2">
        <w:rPr>
          <w:b/>
          <w:bCs/>
          <w:lang w:val="en-NZ"/>
        </w:rPr>
        <w:t>l Amateur Radio Union</w:t>
      </w:r>
      <w:r>
        <w:rPr>
          <w:b/>
          <w:bCs/>
          <w:lang w:val="en-NZ"/>
        </w:rPr>
        <w:t xml:space="preserve"> (</w:t>
      </w:r>
      <w:r w:rsidRPr="00460A82">
        <w:rPr>
          <w:b/>
          <w:bCs/>
          <w:lang w:val="en-NZ"/>
        </w:rPr>
        <w:t>IARU</w:t>
      </w:r>
      <w:r>
        <w:rPr>
          <w:b/>
          <w:bCs/>
          <w:lang w:val="en-NZ"/>
        </w:rPr>
        <w:t>)</w:t>
      </w:r>
    </w:p>
    <w:p w:rsidR="003D6E1F" w:rsidRPr="00460A82" w:rsidRDefault="00460A82" w:rsidP="003D6E1F">
      <w:pPr>
        <w:jc w:val="both"/>
        <w:rPr>
          <w:lang w:val="en-NZ"/>
        </w:rPr>
      </w:pPr>
      <w:r w:rsidRPr="00460A82">
        <w:rPr>
          <w:lang w:val="en-NZ"/>
        </w:rPr>
        <w:t>None</w:t>
      </w:r>
    </w:p>
    <w:p w:rsidR="00460A82" w:rsidRDefault="00460A82" w:rsidP="00460A82">
      <w:pPr>
        <w:pStyle w:val="ListParagraph"/>
        <w:jc w:val="both"/>
        <w:rPr>
          <w:lang w:val="en-NZ"/>
        </w:rPr>
      </w:pPr>
    </w:p>
    <w:p w:rsidR="00F42C2C" w:rsidRPr="00460A82" w:rsidRDefault="006826C1" w:rsidP="00F42C2C">
      <w:pPr>
        <w:pStyle w:val="ListParagraph"/>
        <w:numPr>
          <w:ilvl w:val="2"/>
          <w:numId w:val="25"/>
        </w:numPr>
        <w:jc w:val="both"/>
        <w:rPr>
          <w:b/>
          <w:bCs/>
          <w:lang w:val="en-NZ"/>
        </w:rPr>
      </w:pPr>
      <w:r w:rsidRPr="00A46E54">
        <w:rPr>
          <w:b/>
          <w:bCs/>
          <w:lang w:val="en-NZ"/>
        </w:rPr>
        <w:t>International Civil Aviation Organization (</w:t>
      </w:r>
      <w:r w:rsidRPr="00460A82">
        <w:rPr>
          <w:b/>
          <w:bCs/>
          <w:lang w:val="en-NZ"/>
        </w:rPr>
        <w:t>IC</w:t>
      </w:r>
      <w:r>
        <w:rPr>
          <w:b/>
          <w:bCs/>
          <w:lang w:val="en-NZ"/>
        </w:rPr>
        <w:t>A</w:t>
      </w:r>
      <w:r w:rsidRPr="00460A82">
        <w:rPr>
          <w:b/>
          <w:bCs/>
          <w:lang w:val="en-NZ"/>
        </w:rPr>
        <w:t>O</w:t>
      </w:r>
      <w:r>
        <w:rPr>
          <w:b/>
          <w:bCs/>
          <w:lang w:val="en-NZ"/>
        </w:rPr>
        <w:t>)</w:t>
      </w:r>
    </w:p>
    <w:p w:rsidR="00460A82" w:rsidRPr="00460A82" w:rsidRDefault="00460A82" w:rsidP="00460A82">
      <w:pPr>
        <w:jc w:val="both"/>
        <w:rPr>
          <w:lang w:val="en-NZ"/>
        </w:rPr>
      </w:pPr>
      <w:r w:rsidRPr="00460A82">
        <w:rPr>
          <w:lang w:val="en-NZ"/>
        </w:rPr>
        <w:t>None</w:t>
      </w:r>
    </w:p>
    <w:p w:rsidR="00B64A60" w:rsidRPr="00710333" w:rsidRDefault="00B64A60" w:rsidP="00EF466F">
      <w:pPr>
        <w:tabs>
          <w:tab w:val="left" w:pos="2250"/>
        </w:tabs>
        <w:jc w:val="center"/>
        <w:rPr>
          <w:snapToGrid w:val="0"/>
          <w:lang w:val="en-NZ"/>
        </w:rPr>
      </w:pPr>
      <w:r w:rsidRPr="00710333">
        <w:rPr>
          <w:lang w:val="en-NZ"/>
        </w:rPr>
        <w:t>____________</w:t>
      </w:r>
    </w:p>
    <w:p w:rsidR="00930E64" w:rsidRPr="007673CA" w:rsidRDefault="00930E64" w:rsidP="00D13D9D">
      <w:pPr>
        <w:jc w:val="both"/>
        <w:rPr>
          <w:lang w:val="en-NZ"/>
        </w:rPr>
      </w:pPr>
    </w:p>
    <w:sectPr w:rsidR="00930E64" w:rsidRPr="007673CA" w:rsidSect="008B0B24">
      <w:headerReference w:type="default" r:id="rId36"/>
      <w:footerReference w:type="even" r:id="rId37"/>
      <w:footerReference w:type="default" r:id="rId38"/>
      <w:footerReference w:type="first" r:id="rId39"/>
      <w:pgSz w:w="11909" w:h="16834" w:code="9"/>
      <w:pgMar w:top="1195" w:right="1152" w:bottom="1138"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3EDA" w:rsidRDefault="00FC3EDA">
      <w:r>
        <w:separator/>
      </w:r>
    </w:p>
  </w:endnote>
  <w:endnote w:type="continuationSeparator" w:id="0">
    <w:p w:rsidR="00FC3EDA" w:rsidRDefault="00FC3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ulimChe">
    <w:panose1 w:val="020B0609000101010101"/>
    <w:charset w:val="81"/>
    <w:family w:val="modern"/>
    <w:pitch w:val="fixed"/>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BatangChe">
    <w:altName w:val="Arial Unicode MS"/>
    <w:panose1 w:val="02030609000101010101"/>
    <w:charset w:val="81"/>
    <w:family w:val="modern"/>
    <w:pitch w:val="fixed"/>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Book Antiqua">
    <w:panose1 w:val="02040602050305030304"/>
    <w:charset w:val="00"/>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93B" w:rsidRDefault="0097693B" w:rsidP="002C07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7693B" w:rsidRDefault="0097693B" w:rsidP="00DB0A6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93B" w:rsidRDefault="00981F06" w:rsidP="00981F06">
    <w:pPr>
      <w:pStyle w:val="Footer"/>
      <w:ind w:right="360"/>
    </w:pPr>
    <w:r>
      <w:rPr>
        <w:rFonts w:hint="eastAsia"/>
        <w:lang w:eastAsia="ko-KR"/>
      </w:rPr>
      <w:t>A</w:t>
    </w:r>
    <w:r w:rsidR="008B0B24">
      <w:rPr>
        <w:lang w:eastAsia="ko-KR"/>
      </w:rPr>
      <w:t>PG19-3/</w:t>
    </w:r>
    <w:r w:rsidR="009B4EBD">
      <w:rPr>
        <w:lang w:eastAsia="ko-KR"/>
      </w:rPr>
      <w:t>OUT-10</w:t>
    </w:r>
    <w:r>
      <w:rPr>
        <w:rStyle w:val="PageNumber"/>
      </w:rPr>
      <w:tab/>
    </w:r>
    <w:r>
      <w:rPr>
        <w:rStyle w:val="PageNumber"/>
      </w:rPr>
      <w:tab/>
    </w:r>
    <w:r w:rsidR="002C7EA9" w:rsidRPr="002C7EA9">
      <w:rPr>
        <w:rStyle w:val="PageNumber"/>
      </w:rPr>
      <w:t xml:space="preserve">Page </w:t>
    </w:r>
    <w:r w:rsidR="002C7EA9" w:rsidRPr="002C7EA9">
      <w:rPr>
        <w:rStyle w:val="PageNumber"/>
      </w:rPr>
      <w:fldChar w:fldCharType="begin"/>
    </w:r>
    <w:r w:rsidR="002C7EA9" w:rsidRPr="002C7EA9">
      <w:rPr>
        <w:rStyle w:val="PageNumber"/>
      </w:rPr>
      <w:instrText xml:space="preserve"> PAGE </w:instrText>
    </w:r>
    <w:r w:rsidR="002C7EA9" w:rsidRPr="002C7EA9">
      <w:rPr>
        <w:rStyle w:val="PageNumber"/>
      </w:rPr>
      <w:fldChar w:fldCharType="separate"/>
    </w:r>
    <w:r w:rsidR="00FE4D5F">
      <w:rPr>
        <w:rStyle w:val="PageNumber"/>
        <w:noProof/>
      </w:rPr>
      <w:t>6</w:t>
    </w:r>
    <w:r w:rsidR="002C7EA9" w:rsidRPr="002C7EA9">
      <w:rPr>
        <w:rStyle w:val="PageNumber"/>
      </w:rPr>
      <w:fldChar w:fldCharType="end"/>
    </w:r>
    <w:r w:rsidR="002C7EA9" w:rsidRPr="002C7EA9">
      <w:rPr>
        <w:rStyle w:val="PageNumber"/>
      </w:rPr>
      <w:t xml:space="preserve"> of </w:t>
    </w:r>
    <w:r w:rsidR="002C7EA9" w:rsidRPr="002C7EA9">
      <w:rPr>
        <w:rStyle w:val="PageNumber"/>
      </w:rPr>
      <w:fldChar w:fldCharType="begin"/>
    </w:r>
    <w:r w:rsidR="002C7EA9" w:rsidRPr="002C7EA9">
      <w:rPr>
        <w:rStyle w:val="PageNumber"/>
      </w:rPr>
      <w:instrText xml:space="preserve"> NUMPAGES </w:instrText>
    </w:r>
    <w:r w:rsidR="002C7EA9" w:rsidRPr="002C7EA9">
      <w:rPr>
        <w:rStyle w:val="PageNumber"/>
      </w:rPr>
      <w:fldChar w:fldCharType="separate"/>
    </w:r>
    <w:r w:rsidR="00FE4D5F">
      <w:rPr>
        <w:rStyle w:val="PageNumber"/>
        <w:noProof/>
      </w:rPr>
      <w:t>6</w:t>
    </w:r>
    <w:r w:rsidR="002C7EA9" w:rsidRPr="002C7EA9">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23" w:type="dxa"/>
      <w:jc w:val="center"/>
      <w:tblLayout w:type="fixed"/>
      <w:tblCellMar>
        <w:left w:w="57" w:type="dxa"/>
        <w:right w:w="57" w:type="dxa"/>
      </w:tblCellMar>
      <w:tblLook w:val="0000" w:firstRow="0" w:lastRow="0" w:firstColumn="0" w:lastColumn="0" w:noHBand="0" w:noVBand="0"/>
    </w:tblPr>
    <w:tblGrid>
      <w:gridCol w:w="1617"/>
      <w:gridCol w:w="4394"/>
      <w:gridCol w:w="3912"/>
    </w:tblGrid>
    <w:tr w:rsidR="0097693B">
      <w:trPr>
        <w:cantSplit/>
        <w:trHeight w:val="204"/>
        <w:jc w:val="center"/>
      </w:trPr>
      <w:tc>
        <w:tcPr>
          <w:tcW w:w="1617" w:type="dxa"/>
          <w:tcBorders>
            <w:top w:val="single" w:sz="12" w:space="0" w:color="auto"/>
          </w:tcBorders>
        </w:tcPr>
        <w:p w:rsidR="0097693B" w:rsidRDefault="00024301" w:rsidP="00762576">
          <w:pPr>
            <w:rPr>
              <w:b/>
              <w:bCs/>
            </w:rPr>
          </w:pPr>
          <w:r>
            <w:rPr>
              <w:b/>
              <w:bCs/>
            </w:rPr>
            <w:t>Contact:</w:t>
          </w:r>
        </w:p>
      </w:tc>
      <w:tc>
        <w:tcPr>
          <w:tcW w:w="4394" w:type="dxa"/>
          <w:tcBorders>
            <w:top w:val="single" w:sz="12" w:space="0" w:color="auto"/>
          </w:tcBorders>
        </w:tcPr>
        <w:p w:rsidR="00116756" w:rsidRPr="006256C1" w:rsidRDefault="00116756" w:rsidP="00116756">
          <w:pPr>
            <w:pStyle w:val="Footer"/>
            <w:tabs>
              <w:tab w:val="clear" w:pos="4320"/>
              <w:tab w:val="clear" w:pos="8640"/>
            </w:tabs>
            <w:rPr>
              <w:rFonts w:eastAsia="MS Mincho"/>
              <w:lang w:eastAsia="ja-JP"/>
            </w:rPr>
          </w:pPr>
          <w:r>
            <w:rPr>
              <w:rFonts w:eastAsia="MS Mincho"/>
              <w:lang w:eastAsia="ja-JP"/>
            </w:rPr>
            <w:t>DR. KYUNG-MEE KIM</w:t>
          </w:r>
        </w:p>
        <w:p w:rsidR="00024301" w:rsidRDefault="00116756" w:rsidP="00116756">
          <w:pPr>
            <w:rPr>
              <w:rFonts w:eastAsia="Batang"/>
            </w:rPr>
          </w:pPr>
          <w:r>
            <w:t>Chairman, WP 2</w:t>
          </w:r>
        </w:p>
      </w:tc>
      <w:tc>
        <w:tcPr>
          <w:tcW w:w="3912" w:type="dxa"/>
          <w:tcBorders>
            <w:top w:val="single" w:sz="12" w:space="0" w:color="auto"/>
          </w:tcBorders>
        </w:tcPr>
        <w:p w:rsidR="0097693B" w:rsidRDefault="00024301" w:rsidP="00762576">
          <w:pPr>
            <w:rPr>
              <w:lang w:eastAsia="ja-JP"/>
            </w:rPr>
          </w:pPr>
          <w:r>
            <w:rPr>
              <w:lang w:eastAsia="ja-JP"/>
            </w:rPr>
            <w:t xml:space="preserve">Email: </w:t>
          </w:r>
          <w:hyperlink r:id="rId1" w:history="1">
            <w:r w:rsidR="00116756" w:rsidRPr="00544FDE">
              <w:rPr>
                <w:rStyle w:val="Hyperlink"/>
                <w:rFonts w:eastAsia="MS Mincho"/>
                <w:lang w:eastAsia="ja-JP"/>
              </w:rPr>
              <w:t>kyungmee5@korea.kr</w:t>
            </w:r>
          </w:hyperlink>
        </w:p>
      </w:tc>
    </w:tr>
  </w:tbl>
  <w:p w:rsidR="0097693B" w:rsidRDefault="009769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3EDA" w:rsidRDefault="00FC3EDA">
      <w:r>
        <w:separator/>
      </w:r>
    </w:p>
  </w:footnote>
  <w:footnote w:type="continuationSeparator" w:id="0">
    <w:p w:rsidR="00FC3EDA" w:rsidRDefault="00FC3E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93B" w:rsidRDefault="0097693B" w:rsidP="00C15633">
    <w:pPr>
      <w:pStyle w:val="Header"/>
      <w:tabs>
        <w:tab w:val="center" w:pos="4763"/>
        <w:tab w:val="left" w:pos="5820"/>
      </w:tabs>
      <w:rPr>
        <w:lang w:eastAsia="ko-KR"/>
      </w:rPr>
    </w:pPr>
    <w:r>
      <w:rPr>
        <w:lang w:eastAsia="ko-KR"/>
      </w:rPr>
      <w:tab/>
    </w:r>
  </w:p>
  <w:p w:rsidR="0097693B" w:rsidRDefault="008B0B24" w:rsidP="008B0B24">
    <w:pPr>
      <w:pStyle w:val="Header"/>
      <w:tabs>
        <w:tab w:val="clear" w:pos="4320"/>
        <w:tab w:val="clear" w:pos="8640"/>
        <w:tab w:val="left" w:pos="3360"/>
      </w:tabs>
      <w:rPr>
        <w:lang w:eastAsia="ko-KR"/>
      </w:rPr>
    </w:pPr>
    <w:r>
      <w:rPr>
        <w:lang w:eastAsia="ko-KR"/>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A6C91"/>
    <w:multiLevelType w:val="multilevel"/>
    <w:tmpl w:val="6C4C229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8677B2B"/>
    <w:multiLevelType w:val="hybridMultilevel"/>
    <w:tmpl w:val="364C579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9A8150E"/>
    <w:multiLevelType w:val="multilevel"/>
    <w:tmpl w:val="EC7A868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4" w15:restartNumberingAfterBreak="0">
    <w:nsid w:val="17C92A67"/>
    <w:multiLevelType w:val="multilevel"/>
    <w:tmpl w:val="B5BEDDC6"/>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E0848EE"/>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6" w15:restartNumberingAfterBreak="0">
    <w:nsid w:val="1F3E4FF9"/>
    <w:multiLevelType w:val="hybridMultilevel"/>
    <w:tmpl w:val="BD749D70"/>
    <w:lvl w:ilvl="0" w:tplc="0409000F">
      <w:start w:val="3"/>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7" w15:restartNumberingAfterBreak="0">
    <w:nsid w:val="21D34771"/>
    <w:multiLevelType w:val="hybridMultilevel"/>
    <w:tmpl w:val="764E0C76"/>
    <w:lvl w:ilvl="0" w:tplc="81F65682">
      <w:start w:val="1"/>
      <w:numFmt w:val="bullet"/>
      <w:lvlText w:val=""/>
      <w:lvlJc w:val="left"/>
      <w:pPr>
        <w:tabs>
          <w:tab w:val="num" w:pos="720"/>
        </w:tabs>
        <w:ind w:left="720" w:hanging="360"/>
      </w:pPr>
      <w:rPr>
        <w:rFonts w:ascii="Symbol" w:hAnsi="Symbol" w:hint="default"/>
      </w:rPr>
    </w:lvl>
    <w:lvl w:ilvl="1" w:tplc="722A45E8">
      <w:start w:val="2"/>
      <w:numFmt w:val="bullet"/>
      <w:suff w:val="space"/>
      <w:lvlText w:val="-"/>
      <w:lvlJc w:val="left"/>
      <w:pPr>
        <w:ind w:left="1340" w:hanging="180"/>
      </w:pPr>
      <w:rPr>
        <w:rFonts w:ascii="Times New Roman" w:eastAsia="GulimChe" w:hAnsi="Times New Roman" w:cs="Times New Roman"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8" w15:restartNumberingAfterBreak="0">
    <w:nsid w:val="228575B0"/>
    <w:multiLevelType w:val="multilevel"/>
    <w:tmpl w:val="C6C27F50"/>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color w:val="auto"/>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247D18D9"/>
    <w:multiLevelType w:val="hybridMultilevel"/>
    <w:tmpl w:val="FCEA363E"/>
    <w:lvl w:ilvl="0" w:tplc="E028E216">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001BAB"/>
    <w:multiLevelType w:val="hybridMultilevel"/>
    <w:tmpl w:val="53F8C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1" w15:restartNumberingAfterBreak="0">
    <w:nsid w:val="279242A1"/>
    <w:multiLevelType w:val="hybridMultilevel"/>
    <w:tmpl w:val="DB6C764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9A97CE1"/>
    <w:multiLevelType w:val="hybridMultilevel"/>
    <w:tmpl w:val="1CBEF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DA6E40"/>
    <w:multiLevelType w:val="hybridMultilevel"/>
    <w:tmpl w:val="2CFAD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A7463F"/>
    <w:multiLevelType w:val="hybridMultilevel"/>
    <w:tmpl w:val="D2B878D4"/>
    <w:lvl w:ilvl="0" w:tplc="148491A4">
      <w:start w:val="4"/>
      <w:numFmt w:val="bullet"/>
      <w:lvlText w:val=""/>
      <w:lvlJc w:val="left"/>
      <w:pPr>
        <w:ind w:left="760" w:hanging="360"/>
      </w:pPr>
      <w:rPr>
        <w:rFonts w:ascii="Wingdings" w:eastAsia="BatangChe"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5" w15:restartNumberingAfterBreak="0">
    <w:nsid w:val="30641696"/>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16" w15:restartNumberingAfterBreak="0">
    <w:nsid w:val="33B96D43"/>
    <w:multiLevelType w:val="hybridMultilevel"/>
    <w:tmpl w:val="C902CD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GulimChe"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8" w15:restartNumberingAfterBreak="0">
    <w:nsid w:val="36F050AC"/>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9" w15:restartNumberingAfterBreak="0">
    <w:nsid w:val="3BBE1A4D"/>
    <w:multiLevelType w:val="hybridMultilevel"/>
    <w:tmpl w:val="8DB00EA8"/>
    <w:lvl w:ilvl="0" w:tplc="A114EBFA">
      <w:start w:val="1"/>
      <w:numFmt w:val="bullet"/>
      <w:lvlText w:val="-"/>
      <w:lvlJc w:val="left"/>
      <w:pPr>
        <w:ind w:left="280" w:hanging="360"/>
      </w:pPr>
      <w:rPr>
        <w:rFonts w:ascii="Malgun Gothic" w:eastAsia="Malgun Gothic" w:hAnsi="Malgun Gothic" w:cstheme="minorBidi" w:hint="eastAsia"/>
      </w:rPr>
    </w:lvl>
    <w:lvl w:ilvl="1" w:tplc="04090003" w:tentative="1">
      <w:start w:val="1"/>
      <w:numFmt w:val="bullet"/>
      <w:lvlText w:val=""/>
      <w:lvlJc w:val="left"/>
      <w:pPr>
        <w:ind w:left="720" w:hanging="400"/>
      </w:pPr>
      <w:rPr>
        <w:rFonts w:ascii="Wingdings" w:hAnsi="Wingdings" w:hint="default"/>
      </w:rPr>
    </w:lvl>
    <w:lvl w:ilvl="2" w:tplc="04090005" w:tentative="1">
      <w:start w:val="1"/>
      <w:numFmt w:val="bullet"/>
      <w:lvlText w:val=""/>
      <w:lvlJc w:val="left"/>
      <w:pPr>
        <w:ind w:left="1120" w:hanging="400"/>
      </w:pPr>
      <w:rPr>
        <w:rFonts w:ascii="Wingdings" w:hAnsi="Wingdings" w:hint="default"/>
      </w:rPr>
    </w:lvl>
    <w:lvl w:ilvl="3" w:tplc="04090001" w:tentative="1">
      <w:start w:val="1"/>
      <w:numFmt w:val="bullet"/>
      <w:lvlText w:val=""/>
      <w:lvlJc w:val="left"/>
      <w:pPr>
        <w:ind w:left="1520" w:hanging="400"/>
      </w:pPr>
      <w:rPr>
        <w:rFonts w:ascii="Wingdings" w:hAnsi="Wingdings" w:hint="default"/>
      </w:rPr>
    </w:lvl>
    <w:lvl w:ilvl="4" w:tplc="04090003" w:tentative="1">
      <w:start w:val="1"/>
      <w:numFmt w:val="bullet"/>
      <w:lvlText w:val=""/>
      <w:lvlJc w:val="left"/>
      <w:pPr>
        <w:ind w:left="1920" w:hanging="400"/>
      </w:pPr>
      <w:rPr>
        <w:rFonts w:ascii="Wingdings" w:hAnsi="Wingdings" w:hint="default"/>
      </w:rPr>
    </w:lvl>
    <w:lvl w:ilvl="5" w:tplc="04090005" w:tentative="1">
      <w:start w:val="1"/>
      <w:numFmt w:val="bullet"/>
      <w:lvlText w:val=""/>
      <w:lvlJc w:val="left"/>
      <w:pPr>
        <w:ind w:left="2320" w:hanging="400"/>
      </w:pPr>
      <w:rPr>
        <w:rFonts w:ascii="Wingdings" w:hAnsi="Wingdings" w:hint="default"/>
      </w:rPr>
    </w:lvl>
    <w:lvl w:ilvl="6" w:tplc="04090001" w:tentative="1">
      <w:start w:val="1"/>
      <w:numFmt w:val="bullet"/>
      <w:lvlText w:val=""/>
      <w:lvlJc w:val="left"/>
      <w:pPr>
        <w:ind w:left="2720" w:hanging="400"/>
      </w:pPr>
      <w:rPr>
        <w:rFonts w:ascii="Wingdings" w:hAnsi="Wingdings" w:hint="default"/>
      </w:rPr>
    </w:lvl>
    <w:lvl w:ilvl="7" w:tplc="04090003" w:tentative="1">
      <w:start w:val="1"/>
      <w:numFmt w:val="bullet"/>
      <w:lvlText w:val=""/>
      <w:lvlJc w:val="left"/>
      <w:pPr>
        <w:ind w:left="3120" w:hanging="400"/>
      </w:pPr>
      <w:rPr>
        <w:rFonts w:ascii="Wingdings" w:hAnsi="Wingdings" w:hint="default"/>
      </w:rPr>
    </w:lvl>
    <w:lvl w:ilvl="8" w:tplc="04090005" w:tentative="1">
      <w:start w:val="1"/>
      <w:numFmt w:val="bullet"/>
      <w:lvlText w:val=""/>
      <w:lvlJc w:val="left"/>
      <w:pPr>
        <w:ind w:left="3520" w:hanging="400"/>
      </w:pPr>
      <w:rPr>
        <w:rFonts w:ascii="Wingdings" w:hAnsi="Wingdings" w:hint="default"/>
      </w:rPr>
    </w:lvl>
  </w:abstractNum>
  <w:abstractNum w:abstractNumId="20" w15:restartNumberingAfterBreak="0">
    <w:nsid w:val="44647C67"/>
    <w:multiLevelType w:val="hybridMultilevel"/>
    <w:tmpl w:val="CC64CA70"/>
    <w:lvl w:ilvl="0" w:tplc="76B8D2E4">
      <w:start w:val="10"/>
      <w:numFmt w:val="bullet"/>
      <w:lvlText w:val="-"/>
      <w:lvlJc w:val="left"/>
      <w:pPr>
        <w:ind w:left="760" w:hanging="360"/>
      </w:pPr>
      <w:rPr>
        <w:rFonts w:ascii="Times New Roman" w:eastAsia="BatangChe"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1" w15:restartNumberingAfterBreak="0">
    <w:nsid w:val="520A1016"/>
    <w:multiLevelType w:val="hybridMultilevel"/>
    <w:tmpl w:val="2B2CC548"/>
    <w:lvl w:ilvl="0" w:tplc="B816B436">
      <w:start w:val="1"/>
      <w:numFmt w:val="bullet"/>
      <w:lvlText w:val="-"/>
      <w:lvlJc w:val="left"/>
      <w:pPr>
        <w:ind w:left="720" w:hanging="360"/>
      </w:pPr>
      <w:rPr>
        <w:rFonts w:ascii="Times New Roman" w:eastAsia="BatangChe"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53DF5508"/>
    <w:multiLevelType w:val="multilevel"/>
    <w:tmpl w:val="53DF5508"/>
    <w:lvl w:ilvl="0">
      <w:start w:val="1"/>
      <w:numFmt w:val="decimal"/>
      <w:lvlText w:val="%1)"/>
      <w:lvlJc w:val="left"/>
      <w:pPr>
        <w:ind w:left="360" w:hanging="360"/>
      </w:pPr>
      <w:rPr>
        <w:rFonts w:eastAsia="Malgun Gothic"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23" w15:restartNumberingAfterBreak="0">
    <w:nsid w:val="5B1F05F1"/>
    <w:multiLevelType w:val="hybridMultilevel"/>
    <w:tmpl w:val="96F85162"/>
    <w:lvl w:ilvl="0" w:tplc="08090011">
      <w:start w:val="1"/>
      <w:numFmt w:val="decimal"/>
      <w:lvlText w:val="%1)"/>
      <w:lvlJc w:val="left"/>
      <w:pPr>
        <w:tabs>
          <w:tab w:val="num" w:pos="780"/>
        </w:tabs>
        <w:ind w:left="78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4" w15:restartNumberingAfterBreak="0">
    <w:nsid w:val="5C1725CB"/>
    <w:multiLevelType w:val="hybridMultilevel"/>
    <w:tmpl w:val="4A2E208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0FD0EB8"/>
    <w:multiLevelType w:val="multilevel"/>
    <w:tmpl w:val="C504DAF4"/>
    <w:lvl w:ilvl="0">
      <w:start w:val="7"/>
      <w:numFmt w:val="decimal"/>
      <w:lvlText w:val="%1."/>
      <w:lvlJc w:val="left"/>
      <w:pPr>
        <w:ind w:left="360" w:hanging="360"/>
      </w:pPr>
      <w:rPr>
        <w:rFonts w:hint="default"/>
      </w:rPr>
    </w:lvl>
    <w:lvl w:ilvl="1">
      <w:start w:val="1"/>
      <w:numFmt w:val="decimal"/>
      <w:lvlText w:val="%1.%2."/>
      <w:lvlJc w:val="left"/>
      <w:pPr>
        <w:ind w:left="990" w:hanging="36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26" w15:restartNumberingAfterBreak="0">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7" w15:restartNumberingAfterBreak="0">
    <w:nsid w:val="74F36918"/>
    <w:multiLevelType w:val="hybridMultilevel"/>
    <w:tmpl w:val="1F462B02"/>
    <w:lvl w:ilvl="0" w:tplc="5E1A8D2A">
      <w:start w:val="4"/>
      <w:numFmt w:val="bullet"/>
      <w:lvlText w:val=""/>
      <w:lvlJc w:val="left"/>
      <w:pPr>
        <w:ind w:left="760" w:hanging="360"/>
      </w:pPr>
      <w:rPr>
        <w:rFonts w:ascii="Wingdings" w:eastAsia="BatangChe"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8" w15:restartNumberingAfterBreak="0">
    <w:nsid w:val="7A2C3B6C"/>
    <w:multiLevelType w:val="singleLevel"/>
    <w:tmpl w:val="A01AB2EA"/>
    <w:lvl w:ilvl="0">
      <w:start w:val="1"/>
      <w:numFmt w:val="decimal"/>
      <w:lvlText w:val="%1.  "/>
      <w:legacy w:legacy="1" w:legacySpace="0" w:legacyIndent="283"/>
      <w:lvlJc w:val="left"/>
      <w:pPr>
        <w:ind w:left="283" w:hanging="283"/>
      </w:pPr>
    </w:lvl>
  </w:abstractNum>
  <w:abstractNum w:abstractNumId="29" w15:restartNumberingAfterBreak="0">
    <w:nsid w:val="7A613B19"/>
    <w:multiLevelType w:val="hybridMultilevel"/>
    <w:tmpl w:val="96F85162"/>
    <w:lvl w:ilvl="0" w:tplc="08090011">
      <w:start w:val="1"/>
      <w:numFmt w:val="decimal"/>
      <w:lvlText w:val="%1)"/>
      <w:lvlJc w:val="left"/>
      <w:pPr>
        <w:tabs>
          <w:tab w:val="num" w:pos="780"/>
        </w:tabs>
        <w:ind w:left="78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num w:numId="1">
    <w:abstractNumId w:val="17"/>
  </w:num>
  <w:num w:numId="2">
    <w:abstractNumId w:val="10"/>
  </w:num>
  <w:num w:numId="3">
    <w:abstractNumId w:val="7"/>
  </w:num>
  <w:num w:numId="4">
    <w:abstractNumId w:val="26"/>
  </w:num>
  <w:num w:numId="5">
    <w:abstractNumId w:val="15"/>
  </w:num>
  <w:num w:numId="6">
    <w:abstractNumId w:val="18"/>
  </w:num>
  <w:num w:numId="7">
    <w:abstractNumId w:val="5"/>
  </w:num>
  <w:num w:numId="8">
    <w:abstractNumId w:val="3"/>
  </w:num>
  <w:num w:numId="9">
    <w:abstractNumId w:val="28"/>
  </w:num>
  <w:num w:numId="10">
    <w:abstractNumId w:val="24"/>
  </w:num>
  <w:num w:numId="11">
    <w:abstractNumId w:val="6"/>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num>
  <w:num w:numId="13">
    <w:abstractNumId w:val="1"/>
  </w:num>
  <w:num w:numId="1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29"/>
  </w:num>
  <w:num w:numId="17">
    <w:abstractNumId w:val="23"/>
  </w:num>
  <w:num w:numId="18">
    <w:abstractNumId w:val="19"/>
  </w:num>
  <w:num w:numId="19">
    <w:abstractNumId w:val="27"/>
  </w:num>
  <w:num w:numId="20">
    <w:abstractNumId w:val="14"/>
  </w:num>
  <w:num w:numId="21">
    <w:abstractNumId w:val="20"/>
  </w:num>
  <w:num w:numId="22">
    <w:abstractNumId w:val="0"/>
  </w:num>
  <w:num w:numId="23">
    <w:abstractNumId w:val="13"/>
  </w:num>
  <w:num w:numId="24">
    <w:abstractNumId w:val="25"/>
  </w:num>
  <w:num w:numId="25">
    <w:abstractNumId w:val="2"/>
  </w:num>
  <w:num w:numId="26">
    <w:abstractNumId w:val="22"/>
  </w:num>
  <w:num w:numId="27">
    <w:abstractNumId w:val="4"/>
  </w:num>
  <w:num w:numId="28">
    <w:abstractNumId w:val="12"/>
  </w:num>
  <w:num w:numId="29">
    <w:abstractNumId w:val="16"/>
  </w:num>
  <w:num w:numId="30">
    <w:abstractNumId w:val="9"/>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633"/>
    <w:rsid w:val="00010C8E"/>
    <w:rsid w:val="00024301"/>
    <w:rsid w:val="0003595B"/>
    <w:rsid w:val="00036517"/>
    <w:rsid w:val="00036CC9"/>
    <w:rsid w:val="00070642"/>
    <w:rsid w:val="000713CF"/>
    <w:rsid w:val="00075C14"/>
    <w:rsid w:val="000822B5"/>
    <w:rsid w:val="00094B87"/>
    <w:rsid w:val="000A012B"/>
    <w:rsid w:val="000A1D37"/>
    <w:rsid w:val="000A335A"/>
    <w:rsid w:val="000A5418"/>
    <w:rsid w:val="000B7E78"/>
    <w:rsid w:val="000D10E0"/>
    <w:rsid w:val="000E00D3"/>
    <w:rsid w:val="000E0B70"/>
    <w:rsid w:val="000F345F"/>
    <w:rsid w:val="000F517C"/>
    <w:rsid w:val="000F5540"/>
    <w:rsid w:val="00105F1A"/>
    <w:rsid w:val="00116756"/>
    <w:rsid w:val="00125803"/>
    <w:rsid w:val="0013342F"/>
    <w:rsid w:val="00136733"/>
    <w:rsid w:val="001409B2"/>
    <w:rsid w:val="00152636"/>
    <w:rsid w:val="001539DD"/>
    <w:rsid w:val="00156782"/>
    <w:rsid w:val="0015772D"/>
    <w:rsid w:val="0016348A"/>
    <w:rsid w:val="001731F4"/>
    <w:rsid w:val="00182272"/>
    <w:rsid w:val="00186B08"/>
    <w:rsid w:val="0018734B"/>
    <w:rsid w:val="00187E2E"/>
    <w:rsid w:val="00193198"/>
    <w:rsid w:val="00196568"/>
    <w:rsid w:val="0019661A"/>
    <w:rsid w:val="00197C18"/>
    <w:rsid w:val="001A2349"/>
    <w:rsid w:val="001A2F16"/>
    <w:rsid w:val="001B1804"/>
    <w:rsid w:val="001B18C2"/>
    <w:rsid w:val="001C61A5"/>
    <w:rsid w:val="001C6707"/>
    <w:rsid w:val="001D5D7E"/>
    <w:rsid w:val="001D6499"/>
    <w:rsid w:val="001D68D9"/>
    <w:rsid w:val="001F5947"/>
    <w:rsid w:val="00202410"/>
    <w:rsid w:val="00205E10"/>
    <w:rsid w:val="00212436"/>
    <w:rsid w:val="00214A0C"/>
    <w:rsid w:val="0021588B"/>
    <w:rsid w:val="0021729A"/>
    <w:rsid w:val="0021732F"/>
    <w:rsid w:val="002216AC"/>
    <w:rsid w:val="002400B2"/>
    <w:rsid w:val="00243610"/>
    <w:rsid w:val="002506D2"/>
    <w:rsid w:val="00250DE2"/>
    <w:rsid w:val="00254A1B"/>
    <w:rsid w:val="0026064A"/>
    <w:rsid w:val="00266DF2"/>
    <w:rsid w:val="0027044B"/>
    <w:rsid w:val="0028454D"/>
    <w:rsid w:val="00291C9E"/>
    <w:rsid w:val="002926D4"/>
    <w:rsid w:val="002B06A3"/>
    <w:rsid w:val="002B435C"/>
    <w:rsid w:val="002B447F"/>
    <w:rsid w:val="002B5620"/>
    <w:rsid w:val="002C07DA"/>
    <w:rsid w:val="002C5167"/>
    <w:rsid w:val="002C7EA9"/>
    <w:rsid w:val="002D0D0A"/>
    <w:rsid w:val="002D5D53"/>
    <w:rsid w:val="002E532B"/>
    <w:rsid w:val="002E58E4"/>
    <w:rsid w:val="002F20DE"/>
    <w:rsid w:val="002F3276"/>
    <w:rsid w:val="002F575D"/>
    <w:rsid w:val="0030086A"/>
    <w:rsid w:val="003113D7"/>
    <w:rsid w:val="00314B19"/>
    <w:rsid w:val="0033223F"/>
    <w:rsid w:val="00337D98"/>
    <w:rsid w:val="00342F20"/>
    <w:rsid w:val="00355DF5"/>
    <w:rsid w:val="00360377"/>
    <w:rsid w:val="00361AED"/>
    <w:rsid w:val="00366548"/>
    <w:rsid w:val="00375935"/>
    <w:rsid w:val="003809C7"/>
    <w:rsid w:val="0038236C"/>
    <w:rsid w:val="0038408A"/>
    <w:rsid w:val="00395B40"/>
    <w:rsid w:val="003A6568"/>
    <w:rsid w:val="003B1C84"/>
    <w:rsid w:val="003B6263"/>
    <w:rsid w:val="003C29E6"/>
    <w:rsid w:val="003C64A7"/>
    <w:rsid w:val="003D1671"/>
    <w:rsid w:val="003D3FDA"/>
    <w:rsid w:val="003D6D00"/>
    <w:rsid w:val="003D6E1F"/>
    <w:rsid w:val="003E166F"/>
    <w:rsid w:val="003F5B85"/>
    <w:rsid w:val="004001E5"/>
    <w:rsid w:val="00407EFB"/>
    <w:rsid w:val="00410E8A"/>
    <w:rsid w:val="00412CDF"/>
    <w:rsid w:val="00420822"/>
    <w:rsid w:val="00420C74"/>
    <w:rsid w:val="004338E8"/>
    <w:rsid w:val="004465AA"/>
    <w:rsid w:val="00446A29"/>
    <w:rsid w:val="0045458F"/>
    <w:rsid w:val="00460A82"/>
    <w:rsid w:val="004633B4"/>
    <w:rsid w:val="004668C4"/>
    <w:rsid w:val="00467D93"/>
    <w:rsid w:val="004724C1"/>
    <w:rsid w:val="004755A1"/>
    <w:rsid w:val="00483536"/>
    <w:rsid w:val="00484C63"/>
    <w:rsid w:val="0049163E"/>
    <w:rsid w:val="004A1DC0"/>
    <w:rsid w:val="004A2F96"/>
    <w:rsid w:val="004A68E8"/>
    <w:rsid w:val="004B3553"/>
    <w:rsid w:val="004B3F4B"/>
    <w:rsid w:val="004D6375"/>
    <w:rsid w:val="004E037E"/>
    <w:rsid w:val="004E4493"/>
    <w:rsid w:val="004E70A2"/>
    <w:rsid w:val="004F01B1"/>
    <w:rsid w:val="004F4738"/>
    <w:rsid w:val="00503189"/>
    <w:rsid w:val="00504D29"/>
    <w:rsid w:val="00511D7E"/>
    <w:rsid w:val="00513C10"/>
    <w:rsid w:val="00513D29"/>
    <w:rsid w:val="00515D81"/>
    <w:rsid w:val="00526D01"/>
    <w:rsid w:val="00530400"/>
    <w:rsid w:val="00530E8C"/>
    <w:rsid w:val="00545933"/>
    <w:rsid w:val="005505D2"/>
    <w:rsid w:val="00552105"/>
    <w:rsid w:val="005562F2"/>
    <w:rsid w:val="00557544"/>
    <w:rsid w:val="00560CAD"/>
    <w:rsid w:val="00562B39"/>
    <w:rsid w:val="00565BBB"/>
    <w:rsid w:val="005676A1"/>
    <w:rsid w:val="00572F8F"/>
    <w:rsid w:val="00574A24"/>
    <w:rsid w:val="00576FC7"/>
    <w:rsid w:val="00585F3C"/>
    <w:rsid w:val="00585F7C"/>
    <w:rsid w:val="00586CA0"/>
    <w:rsid w:val="00587875"/>
    <w:rsid w:val="0059335E"/>
    <w:rsid w:val="005A3A6E"/>
    <w:rsid w:val="005A5352"/>
    <w:rsid w:val="005A63EB"/>
    <w:rsid w:val="005C2B58"/>
    <w:rsid w:val="005C33B6"/>
    <w:rsid w:val="005D5C03"/>
    <w:rsid w:val="005D6202"/>
    <w:rsid w:val="005D6E98"/>
    <w:rsid w:val="005D779F"/>
    <w:rsid w:val="00604686"/>
    <w:rsid w:val="00607E2B"/>
    <w:rsid w:val="006139D6"/>
    <w:rsid w:val="00616D1B"/>
    <w:rsid w:val="00623CE1"/>
    <w:rsid w:val="0063062B"/>
    <w:rsid w:val="00637351"/>
    <w:rsid w:val="00646166"/>
    <w:rsid w:val="006523BB"/>
    <w:rsid w:val="00652F36"/>
    <w:rsid w:val="00654896"/>
    <w:rsid w:val="006565A8"/>
    <w:rsid w:val="006621F0"/>
    <w:rsid w:val="006647BA"/>
    <w:rsid w:val="00667229"/>
    <w:rsid w:val="006748CA"/>
    <w:rsid w:val="006755FE"/>
    <w:rsid w:val="00681307"/>
    <w:rsid w:val="006826C1"/>
    <w:rsid w:val="00682BE5"/>
    <w:rsid w:val="00690FED"/>
    <w:rsid w:val="006939A5"/>
    <w:rsid w:val="00697429"/>
    <w:rsid w:val="006D0351"/>
    <w:rsid w:val="006D5223"/>
    <w:rsid w:val="006E12FC"/>
    <w:rsid w:val="006E7372"/>
    <w:rsid w:val="006F2B2E"/>
    <w:rsid w:val="006F3E8C"/>
    <w:rsid w:val="00700001"/>
    <w:rsid w:val="00705962"/>
    <w:rsid w:val="00707C21"/>
    <w:rsid w:val="007112BF"/>
    <w:rsid w:val="00712451"/>
    <w:rsid w:val="00713ED4"/>
    <w:rsid w:val="00714E61"/>
    <w:rsid w:val="00717DE9"/>
    <w:rsid w:val="00724145"/>
    <w:rsid w:val="0072518B"/>
    <w:rsid w:val="007301F1"/>
    <w:rsid w:val="00731041"/>
    <w:rsid w:val="007329E4"/>
    <w:rsid w:val="00732F08"/>
    <w:rsid w:val="007342F0"/>
    <w:rsid w:val="0073725F"/>
    <w:rsid w:val="0074190C"/>
    <w:rsid w:val="007611B0"/>
    <w:rsid w:val="00762576"/>
    <w:rsid w:val="0076337F"/>
    <w:rsid w:val="00763D03"/>
    <w:rsid w:val="007673CA"/>
    <w:rsid w:val="00770950"/>
    <w:rsid w:val="0077363D"/>
    <w:rsid w:val="00786F7F"/>
    <w:rsid w:val="00791060"/>
    <w:rsid w:val="007B5626"/>
    <w:rsid w:val="007B6079"/>
    <w:rsid w:val="007B6124"/>
    <w:rsid w:val="007D3C53"/>
    <w:rsid w:val="007E3D23"/>
    <w:rsid w:val="007E43EB"/>
    <w:rsid w:val="007F2628"/>
    <w:rsid w:val="007F2FBA"/>
    <w:rsid w:val="007F694B"/>
    <w:rsid w:val="00800C3A"/>
    <w:rsid w:val="0080570B"/>
    <w:rsid w:val="00810D6F"/>
    <w:rsid w:val="008148E1"/>
    <w:rsid w:val="008156EF"/>
    <w:rsid w:val="008319BF"/>
    <w:rsid w:val="008433C2"/>
    <w:rsid w:val="00844457"/>
    <w:rsid w:val="008454C8"/>
    <w:rsid w:val="00851D78"/>
    <w:rsid w:val="008521E5"/>
    <w:rsid w:val="0085794D"/>
    <w:rsid w:val="00873D9C"/>
    <w:rsid w:val="00873E15"/>
    <w:rsid w:val="008752EE"/>
    <w:rsid w:val="008906B6"/>
    <w:rsid w:val="00892A88"/>
    <w:rsid w:val="00894AD8"/>
    <w:rsid w:val="008A1A0D"/>
    <w:rsid w:val="008A76ED"/>
    <w:rsid w:val="008A7B32"/>
    <w:rsid w:val="008B0B24"/>
    <w:rsid w:val="008B3C72"/>
    <w:rsid w:val="008B68D4"/>
    <w:rsid w:val="008C75FD"/>
    <w:rsid w:val="008D0E09"/>
    <w:rsid w:val="008F2874"/>
    <w:rsid w:val="00903007"/>
    <w:rsid w:val="00905381"/>
    <w:rsid w:val="009062B2"/>
    <w:rsid w:val="00906686"/>
    <w:rsid w:val="00923816"/>
    <w:rsid w:val="0093074B"/>
    <w:rsid w:val="00930E64"/>
    <w:rsid w:val="0095062F"/>
    <w:rsid w:val="00956F8C"/>
    <w:rsid w:val="00961D57"/>
    <w:rsid w:val="00976716"/>
    <w:rsid w:val="0097693B"/>
    <w:rsid w:val="00981F06"/>
    <w:rsid w:val="00992466"/>
    <w:rsid w:val="00993355"/>
    <w:rsid w:val="009963B4"/>
    <w:rsid w:val="009963F7"/>
    <w:rsid w:val="00996600"/>
    <w:rsid w:val="009A1FC3"/>
    <w:rsid w:val="009A4A6D"/>
    <w:rsid w:val="009A5804"/>
    <w:rsid w:val="009B3DE9"/>
    <w:rsid w:val="009B4EBD"/>
    <w:rsid w:val="009B6658"/>
    <w:rsid w:val="009D3288"/>
    <w:rsid w:val="009E13DD"/>
    <w:rsid w:val="009F45C2"/>
    <w:rsid w:val="009F7D3B"/>
    <w:rsid w:val="00A0503B"/>
    <w:rsid w:val="00A05B16"/>
    <w:rsid w:val="00A13265"/>
    <w:rsid w:val="00A14900"/>
    <w:rsid w:val="00A14E53"/>
    <w:rsid w:val="00A2159F"/>
    <w:rsid w:val="00A46E54"/>
    <w:rsid w:val="00A523A3"/>
    <w:rsid w:val="00A529BC"/>
    <w:rsid w:val="00A5346C"/>
    <w:rsid w:val="00A562F0"/>
    <w:rsid w:val="00A564FB"/>
    <w:rsid w:val="00A614C1"/>
    <w:rsid w:val="00A62532"/>
    <w:rsid w:val="00A71136"/>
    <w:rsid w:val="00A97624"/>
    <w:rsid w:val="00AA3B3C"/>
    <w:rsid w:val="00AA474C"/>
    <w:rsid w:val="00AB171E"/>
    <w:rsid w:val="00AB6DD5"/>
    <w:rsid w:val="00AC35EF"/>
    <w:rsid w:val="00AC3F32"/>
    <w:rsid w:val="00AD2697"/>
    <w:rsid w:val="00AD4912"/>
    <w:rsid w:val="00AD4E82"/>
    <w:rsid w:val="00AD7E5F"/>
    <w:rsid w:val="00AE3066"/>
    <w:rsid w:val="00AF1F79"/>
    <w:rsid w:val="00AF460E"/>
    <w:rsid w:val="00AF68E4"/>
    <w:rsid w:val="00B01152"/>
    <w:rsid w:val="00B01A13"/>
    <w:rsid w:val="00B01AA1"/>
    <w:rsid w:val="00B07032"/>
    <w:rsid w:val="00B14DD4"/>
    <w:rsid w:val="00B24E6C"/>
    <w:rsid w:val="00B27603"/>
    <w:rsid w:val="00B30C81"/>
    <w:rsid w:val="00B351E9"/>
    <w:rsid w:val="00B36947"/>
    <w:rsid w:val="00B42004"/>
    <w:rsid w:val="00B45384"/>
    <w:rsid w:val="00B4793B"/>
    <w:rsid w:val="00B62B0C"/>
    <w:rsid w:val="00B64A60"/>
    <w:rsid w:val="00B919CC"/>
    <w:rsid w:val="00B937D7"/>
    <w:rsid w:val="00B96B67"/>
    <w:rsid w:val="00BA44FA"/>
    <w:rsid w:val="00BB2BC5"/>
    <w:rsid w:val="00BB3CA5"/>
    <w:rsid w:val="00BC57EF"/>
    <w:rsid w:val="00BD1EAF"/>
    <w:rsid w:val="00BD2194"/>
    <w:rsid w:val="00BE6948"/>
    <w:rsid w:val="00BE7216"/>
    <w:rsid w:val="00BF25F9"/>
    <w:rsid w:val="00C13FD5"/>
    <w:rsid w:val="00C15633"/>
    <w:rsid w:val="00C15799"/>
    <w:rsid w:val="00C32E84"/>
    <w:rsid w:val="00C35415"/>
    <w:rsid w:val="00C357AD"/>
    <w:rsid w:val="00C36B95"/>
    <w:rsid w:val="00C4660F"/>
    <w:rsid w:val="00C51576"/>
    <w:rsid w:val="00C554CC"/>
    <w:rsid w:val="00C6069C"/>
    <w:rsid w:val="00C65FE9"/>
    <w:rsid w:val="00C74745"/>
    <w:rsid w:val="00C76FAD"/>
    <w:rsid w:val="00C85119"/>
    <w:rsid w:val="00CA0231"/>
    <w:rsid w:val="00CA2016"/>
    <w:rsid w:val="00CA6EA4"/>
    <w:rsid w:val="00CC30D5"/>
    <w:rsid w:val="00CC5200"/>
    <w:rsid w:val="00CD320B"/>
    <w:rsid w:val="00CD3F37"/>
    <w:rsid w:val="00CD5431"/>
    <w:rsid w:val="00CE4B93"/>
    <w:rsid w:val="00CF0B89"/>
    <w:rsid w:val="00CF2491"/>
    <w:rsid w:val="00CF3963"/>
    <w:rsid w:val="00D1252E"/>
    <w:rsid w:val="00D13D9D"/>
    <w:rsid w:val="00D34D8D"/>
    <w:rsid w:val="00D35114"/>
    <w:rsid w:val="00D459A2"/>
    <w:rsid w:val="00D530FF"/>
    <w:rsid w:val="00D53688"/>
    <w:rsid w:val="00D5407A"/>
    <w:rsid w:val="00D57772"/>
    <w:rsid w:val="00D615B2"/>
    <w:rsid w:val="00D72AE3"/>
    <w:rsid w:val="00D75A4D"/>
    <w:rsid w:val="00D8478B"/>
    <w:rsid w:val="00D86151"/>
    <w:rsid w:val="00D9172D"/>
    <w:rsid w:val="00DA7595"/>
    <w:rsid w:val="00DB0A68"/>
    <w:rsid w:val="00DB19DD"/>
    <w:rsid w:val="00DC43A3"/>
    <w:rsid w:val="00DC4CF3"/>
    <w:rsid w:val="00DC5C01"/>
    <w:rsid w:val="00DD3CDF"/>
    <w:rsid w:val="00DD7C09"/>
    <w:rsid w:val="00DE2A30"/>
    <w:rsid w:val="00DF2DE9"/>
    <w:rsid w:val="00DF7DD8"/>
    <w:rsid w:val="00E0124F"/>
    <w:rsid w:val="00E02A4C"/>
    <w:rsid w:val="00E11C79"/>
    <w:rsid w:val="00E2246B"/>
    <w:rsid w:val="00E232A2"/>
    <w:rsid w:val="00E25D9E"/>
    <w:rsid w:val="00E52831"/>
    <w:rsid w:val="00E57B4A"/>
    <w:rsid w:val="00E61454"/>
    <w:rsid w:val="00E674D3"/>
    <w:rsid w:val="00E674F7"/>
    <w:rsid w:val="00E70FD0"/>
    <w:rsid w:val="00E754A9"/>
    <w:rsid w:val="00E77C4B"/>
    <w:rsid w:val="00E82A2D"/>
    <w:rsid w:val="00E9301F"/>
    <w:rsid w:val="00E961F0"/>
    <w:rsid w:val="00E9690A"/>
    <w:rsid w:val="00E97DC7"/>
    <w:rsid w:val="00EC4052"/>
    <w:rsid w:val="00ED3E4F"/>
    <w:rsid w:val="00EF1644"/>
    <w:rsid w:val="00EF177D"/>
    <w:rsid w:val="00EF466F"/>
    <w:rsid w:val="00F000EF"/>
    <w:rsid w:val="00F0088D"/>
    <w:rsid w:val="00F065A3"/>
    <w:rsid w:val="00F1333D"/>
    <w:rsid w:val="00F1599C"/>
    <w:rsid w:val="00F2504E"/>
    <w:rsid w:val="00F2585B"/>
    <w:rsid w:val="00F340CC"/>
    <w:rsid w:val="00F4053F"/>
    <w:rsid w:val="00F42C2C"/>
    <w:rsid w:val="00F43215"/>
    <w:rsid w:val="00F516E7"/>
    <w:rsid w:val="00F56FD4"/>
    <w:rsid w:val="00F57BF7"/>
    <w:rsid w:val="00F61EFD"/>
    <w:rsid w:val="00F6263E"/>
    <w:rsid w:val="00F627C2"/>
    <w:rsid w:val="00F84067"/>
    <w:rsid w:val="00FA5040"/>
    <w:rsid w:val="00FA50B4"/>
    <w:rsid w:val="00FB4C88"/>
    <w:rsid w:val="00FB66AE"/>
    <w:rsid w:val="00FB7216"/>
    <w:rsid w:val="00FC156A"/>
    <w:rsid w:val="00FC3EDA"/>
    <w:rsid w:val="00FC423D"/>
    <w:rsid w:val="00FC4666"/>
    <w:rsid w:val="00FC7F76"/>
    <w:rsid w:val="00FD6235"/>
    <w:rsid w:val="00FD6B39"/>
    <w:rsid w:val="00FD6CC8"/>
    <w:rsid w:val="00FE3DE5"/>
    <w:rsid w:val="00FE4D5F"/>
    <w:rsid w:val="00FE6D2D"/>
    <w:rsid w:val="00FF151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A9D6779-8880-4E35-A482-A13B94259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595"/>
    <w:rPr>
      <w:rFonts w:eastAsia="BatangChe"/>
      <w:sz w:val="24"/>
      <w:szCs w:val="24"/>
    </w:rPr>
  </w:style>
  <w:style w:type="paragraph" w:styleId="Heading1">
    <w:name w:val="heading 1"/>
    <w:basedOn w:val="Normal"/>
    <w:next w:val="Normal"/>
    <w:qFormat/>
    <w:rsid w:val="00DA7595"/>
    <w:pPr>
      <w:keepNext/>
      <w:jc w:val="center"/>
      <w:outlineLvl w:val="0"/>
    </w:pPr>
    <w:rPr>
      <w:b/>
      <w:bCs/>
      <w:u w:val="single"/>
    </w:rPr>
  </w:style>
  <w:style w:type="paragraph" w:styleId="Heading8">
    <w:name w:val="heading 8"/>
    <w:basedOn w:val="Normal"/>
    <w:next w:val="Normal"/>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before="120" w:line="240" w:lineRule="atLeast"/>
      <w:textAlignment w:val="baseline"/>
    </w:pPr>
    <w:rPr>
      <w:rFonts w:eastAsia="MS Mincho"/>
      <w:szCs w:val="22"/>
      <w:lang w:val="en-GB"/>
    </w:rPr>
  </w:style>
  <w:style w:type="paragraph" w:styleId="ListParagraph">
    <w:name w:val="List Paragraph"/>
    <w:basedOn w:val="Normal"/>
    <w:uiPriority w:val="34"/>
    <w:qFormat/>
    <w:rsid w:val="001F5947"/>
    <w:pPr>
      <w:ind w:left="720"/>
    </w:pPr>
  </w:style>
  <w:style w:type="character" w:styleId="Strong">
    <w:name w:val="Strong"/>
    <w:basedOn w:val="DefaultParagraphFont"/>
    <w:uiPriority w:val="22"/>
    <w:qFormat/>
    <w:rsid w:val="001F5947"/>
    <w:rPr>
      <w:b/>
      <w:bCs/>
    </w:rPr>
  </w:style>
  <w:style w:type="paragraph" w:styleId="BalloonText">
    <w:name w:val="Balloon Text"/>
    <w:basedOn w:val="Normal"/>
    <w:link w:val="BalloonTextChar"/>
    <w:semiHidden/>
    <w:unhideWhenUsed/>
    <w:rsid w:val="00250DE2"/>
    <w:rPr>
      <w:rFonts w:ascii="Tahoma" w:hAnsi="Tahoma" w:cs="Tahoma"/>
      <w:sz w:val="16"/>
      <w:szCs w:val="16"/>
    </w:rPr>
  </w:style>
  <w:style w:type="character" w:customStyle="1" w:styleId="BalloonTextChar">
    <w:name w:val="Balloon Text Char"/>
    <w:basedOn w:val="DefaultParagraphFont"/>
    <w:link w:val="BalloonText"/>
    <w:semiHidden/>
    <w:rsid w:val="00250DE2"/>
    <w:rPr>
      <w:rFonts w:ascii="Tahoma" w:eastAsia="BatangChe" w:hAnsi="Tahoma" w:cs="Tahoma"/>
      <w:sz w:val="16"/>
      <w:szCs w:val="16"/>
    </w:rPr>
  </w:style>
  <w:style w:type="character" w:styleId="Hyperlink">
    <w:name w:val="Hyperlink"/>
    <w:basedOn w:val="DefaultParagraphFont"/>
    <w:unhideWhenUsed/>
    <w:rsid w:val="00B64A60"/>
    <w:rPr>
      <w:color w:val="0000FF" w:themeColor="hyperlink"/>
      <w:u w:val="single"/>
    </w:rPr>
  </w:style>
  <w:style w:type="paragraph" w:styleId="FootnoteText">
    <w:name w:val="footnote text"/>
    <w:basedOn w:val="Normal"/>
    <w:link w:val="FootnoteTextChar"/>
    <w:semiHidden/>
    <w:unhideWhenUsed/>
    <w:rsid w:val="00D5407A"/>
    <w:rPr>
      <w:sz w:val="20"/>
      <w:szCs w:val="20"/>
    </w:rPr>
  </w:style>
  <w:style w:type="character" w:customStyle="1" w:styleId="FootnoteTextChar">
    <w:name w:val="Footnote Text Char"/>
    <w:basedOn w:val="DefaultParagraphFont"/>
    <w:link w:val="FootnoteText"/>
    <w:semiHidden/>
    <w:rsid w:val="00D5407A"/>
    <w:rPr>
      <w:rFonts w:eastAsia="BatangChe"/>
    </w:rPr>
  </w:style>
  <w:style w:type="character" w:styleId="FootnoteReference">
    <w:name w:val="footnote reference"/>
    <w:basedOn w:val="DefaultParagraphFont"/>
    <w:semiHidden/>
    <w:unhideWhenUsed/>
    <w:rsid w:val="00D5407A"/>
    <w:rPr>
      <w:vertAlign w:val="superscript"/>
    </w:rPr>
  </w:style>
  <w:style w:type="character" w:styleId="CommentReference">
    <w:name w:val="annotation reference"/>
    <w:basedOn w:val="DefaultParagraphFont"/>
    <w:semiHidden/>
    <w:unhideWhenUsed/>
    <w:rsid w:val="00CE4B93"/>
    <w:rPr>
      <w:sz w:val="16"/>
      <w:szCs w:val="16"/>
    </w:rPr>
  </w:style>
  <w:style w:type="paragraph" w:styleId="CommentText">
    <w:name w:val="annotation text"/>
    <w:basedOn w:val="Normal"/>
    <w:link w:val="CommentTextChar"/>
    <w:semiHidden/>
    <w:unhideWhenUsed/>
    <w:rsid w:val="00CE4B93"/>
    <w:rPr>
      <w:sz w:val="20"/>
      <w:szCs w:val="20"/>
    </w:rPr>
  </w:style>
  <w:style w:type="character" w:customStyle="1" w:styleId="CommentTextChar">
    <w:name w:val="Comment Text Char"/>
    <w:basedOn w:val="DefaultParagraphFont"/>
    <w:link w:val="CommentText"/>
    <w:semiHidden/>
    <w:rsid w:val="00CE4B93"/>
    <w:rPr>
      <w:rFonts w:eastAsia="BatangChe"/>
    </w:rPr>
  </w:style>
  <w:style w:type="paragraph" w:styleId="CommentSubject">
    <w:name w:val="annotation subject"/>
    <w:basedOn w:val="CommentText"/>
    <w:next w:val="CommentText"/>
    <w:link w:val="CommentSubjectChar"/>
    <w:semiHidden/>
    <w:unhideWhenUsed/>
    <w:rsid w:val="00CE4B93"/>
    <w:rPr>
      <w:b/>
      <w:bCs/>
    </w:rPr>
  </w:style>
  <w:style w:type="character" w:customStyle="1" w:styleId="CommentSubjectChar">
    <w:name w:val="Comment Subject Char"/>
    <w:basedOn w:val="CommentTextChar"/>
    <w:link w:val="CommentSubject"/>
    <w:semiHidden/>
    <w:rsid w:val="00CE4B93"/>
    <w:rPr>
      <w:rFonts w:eastAsia="BatangChe"/>
      <w:b/>
      <w:bCs/>
    </w:rPr>
  </w:style>
  <w:style w:type="paragraph" w:styleId="NormalWeb">
    <w:name w:val="Normal (Web)"/>
    <w:basedOn w:val="Normal"/>
    <w:uiPriority w:val="99"/>
    <w:unhideWhenUsed/>
    <w:rsid w:val="002C5167"/>
    <w:pPr>
      <w:spacing w:before="100" w:beforeAutospacing="1" w:after="100" w:afterAutospacing="1"/>
    </w:pPr>
    <w:rPr>
      <w:rFonts w:eastAsia="Times New Roman"/>
    </w:rPr>
  </w:style>
  <w:style w:type="paragraph" w:customStyle="1" w:styleId="ListParagraph2">
    <w:name w:val="List Paragraph2"/>
    <w:basedOn w:val="Normal"/>
    <w:uiPriority w:val="34"/>
    <w:qFormat/>
    <w:rsid w:val="00FE6D2D"/>
    <w:pPr>
      <w:spacing w:after="160" w:line="259" w:lineRule="auto"/>
      <w:ind w:firstLineChars="200" w:firstLine="420"/>
    </w:pPr>
  </w:style>
  <w:style w:type="character" w:customStyle="1" w:styleId="ECCParagraph">
    <w:name w:val="ECC Paragraph"/>
    <w:basedOn w:val="DefaultParagraphFont"/>
    <w:uiPriority w:val="1"/>
    <w:qFormat/>
    <w:rsid w:val="00CF0B89"/>
    <w:rPr>
      <w:rFonts w:ascii="Arial" w:hAnsi="Arial" w:cs="Arial" w:hint="default"/>
      <w:noProof w:val="0"/>
      <w:sz w:val="20"/>
      <w:bdr w:val="none" w:sz="0" w:space="0" w:color="auto" w:frame="1"/>
      <w:lang w:val="en-GB"/>
    </w:rPr>
  </w:style>
  <w:style w:type="character" w:customStyle="1" w:styleId="Artdef">
    <w:name w:val="Art_def"/>
    <w:basedOn w:val="DefaultParagraphFont"/>
    <w:rsid w:val="0076337F"/>
    <w:rPr>
      <w:rFonts w:ascii="Times New Roman" w:hAnsi="Times New Roman"/>
      <w:b/>
    </w:rPr>
  </w:style>
  <w:style w:type="character" w:styleId="FollowedHyperlink">
    <w:name w:val="FollowedHyperlink"/>
    <w:basedOn w:val="DefaultParagraphFont"/>
    <w:semiHidden/>
    <w:unhideWhenUsed/>
    <w:rsid w:val="009F45C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5798631">
      <w:bodyDiv w:val="1"/>
      <w:marLeft w:val="0"/>
      <w:marRight w:val="0"/>
      <w:marTop w:val="0"/>
      <w:marBottom w:val="0"/>
      <w:divBdr>
        <w:top w:val="none" w:sz="0" w:space="0" w:color="auto"/>
        <w:left w:val="none" w:sz="0" w:space="0" w:color="auto"/>
        <w:bottom w:val="none" w:sz="0" w:space="0" w:color="auto"/>
        <w:right w:val="none" w:sz="0" w:space="0" w:color="auto"/>
      </w:divBdr>
    </w:div>
    <w:div w:id="1774934263">
      <w:bodyDiv w:val="1"/>
      <w:marLeft w:val="0"/>
      <w:marRight w:val="0"/>
      <w:marTop w:val="0"/>
      <w:marBottom w:val="0"/>
      <w:divBdr>
        <w:top w:val="none" w:sz="0" w:space="0" w:color="auto"/>
        <w:left w:val="none" w:sz="0" w:space="0" w:color="auto"/>
        <w:bottom w:val="none" w:sz="0" w:space="0" w:color="auto"/>
        <w:right w:val="none" w:sz="0" w:space="0" w:color="auto"/>
      </w:divBdr>
      <w:divsChild>
        <w:div w:id="2100560108">
          <w:marLeft w:val="0"/>
          <w:marRight w:val="0"/>
          <w:marTop w:val="0"/>
          <w:marBottom w:val="0"/>
          <w:divBdr>
            <w:top w:val="none" w:sz="0" w:space="0" w:color="auto"/>
            <w:left w:val="none" w:sz="0" w:space="0" w:color="auto"/>
            <w:bottom w:val="none" w:sz="0" w:space="0" w:color="auto"/>
            <w:right w:val="none" w:sz="0" w:space="0" w:color="auto"/>
          </w:divBdr>
          <w:divsChild>
            <w:div w:id="1673601853">
              <w:marLeft w:val="0"/>
              <w:marRight w:val="0"/>
              <w:marTop w:val="0"/>
              <w:marBottom w:val="0"/>
              <w:divBdr>
                <w:top w:val="none" w:sz="0" w:space="0" w:color="auto"/>
                <w:left w:val="none" w:sz="0" w:space="0" w:color="auto"/>
                <w:bottom w:val="none" w:sz="0" w:space="0" w:color="auto"/>
                <w:right w:val="none" w:sz="0" w:space="0" w:color="auto"/>
              </w:divBdr>
            </w:div>
            <w:div w:id="1737698829">
              <w:marLeft w:val="0"/>
              <w:marRight w:val="0"/>
              <w:marTop w:val="0"/>
              <w:marBottom w:val="0"/>
              <w:divBdr>
                <w:top w:val="none" w:sz="0" w:space="0" w:color="auto"/>
                <w:left w:val="none" w:sz="0" w:space="0" w:color="auto"/>
                <w:bottom w:val="none" w:sz="0" w:space="0" w:color="auto"/>
                <w:right w:val="none" w:sz="0" w:space="0" w:color="auto"/>
              </w:divBdr>
            </w:div>
            <w:div w:id="1185748132">
              <w:marLeft w:val="0"/>
              <w:marRight w:val="0"/>
              <w:marTop w:val="0"/>
              <w:marBottom w:val="0"/>
              <w:divBdr>
                <w:top w:val="none" w:sz="0" w:space="0" w:color="auto"/>
                <w:left w:val="none" w:sz="0" w:space="0" w:color="auto"/>
                <w:bottom w:val="none" w:sz="0" w:space="0" w:color="auto"/>
                <w:right w:val="none" w:sz="0" w:space="0" w:color="auto"/>
              </w:divBdr>
            </w:div>
            <w:div w:id="1402019916">
              <w:marLeft w:val="0"/>
              <w:marRight w:val="0"/>
              <w:marTop w:val="0"/>
              <w:marBottom w:val="0"/>
              <w:divBdr>
                <w:top w:val="none" w:sz="0" w:space="0" w:color="auto"/>
                <w:left w:val="none" w:sz="0" w:space="0" w:color="auto"/>
                <w:bottom w:val="none" w:sz="0" w:space="0" w:color="auto"/>
                <w:right w:val="none" w:sz="0" w:space="0" w:color="auto"/>
              </w:divBdr>
            </w:div>
            <w:div w:id="33234544">
              <w:marLeft w:val="0"/>
              <w:marRight w:val="0"/>
              <w:marTop w:val="0"/>
              <w:marBottom w:val="0"/>
              <w:divBdr>
                <w:top w:val="none" w:sz="0" w:space="0" w:color="auto"/>
                <w:left w:val="none" w:sz="0" w:space="0" w:color="auto"/>
                <w:bottom w:val="none" w:sz="0" w:space="0" w:color="auto"/>
                <w:right w:val="none" w:sz="0" w:space="0" w:color="auto"/>
              </w:divBdr>
            </w:div>
            <w:div w:id="806826012">
              <w:marLeft w:val="0"/>
              <w:marRight w:val="0"/>
              <w:marTop w:val="0"/>
              <w:marBottom w:val="0"/>
              <w:divBdr>
                <w:top w:val="none" w:sz="0" w:space="0" w:color="auto"/>
                <w:left w:val="none" w:sz="0" w:space="0" w:color="auto"/>
                <w:bottom w:val="none" w:sz="0" w:space="0" w:color="auto"/>
                <w:right w:val="none" w:sz="0" w:space="0" w:color="auto"/>
              </w:divBdr>
            </w:div>
            <w:div w:id="983237041">
              <w:marLeft w:val="0"/>
              <w:marRight w:val="0"/>
              <w:marTop w:val="0"/>
              <w:marBottom w:val="0"/>
              <w:divBdr>
                <w:top w:val="none" w:sz="0" w:space="0" w:color="auto"/>
                <w:left w:val="none" w:sz="0" w:space="0" w:color="auto"/>
                <w:bottom w:val="none" w:sz="0" w:space="0" w:color="auto"/>
                <w:right w:val="none" w:sz="0" w:space="0" w:color="auto"/>
              </w:divBdr>
            </w:div>
            <w:div w:id="1698308337">
              <w:marLeft w:val="0"/>
              <w:marRight w:val="0"/>
              <w:marTop w:val="0"/>
              <w:marBottom w:val="0"/>
              <w:divBdr>
                <w:top w:val="none" w:sz="0" w:space="0" w:color="auto"/>
                <w:left w:val="none" w:sz="0" w:space="0" w:color="auto"/>
                <w:bottom w:val="none" w:sz="0" w:space="0" w:color="auto"/>
                <w:right w:val="none" w:sz="0" w:space="0" w:color="auto"/>
              </w:divBdr>
            </w:div>
            <w:div w:id="1391927441">
              <w:marLeft w:val="0"/>
              <w:marRight w:val="0"/>
              <w:marTop w:val="0"/>
              <w:marBottom w:val="0"/>
              <w:divBdr>
                <w:top w:val="none" w:sz="0" w:space="0" w:color="auto"/>
                <w:left w:val="none" w:sz="0" w:space="0" w:color="auto"/>
                <w:bottom w:val="none" w:sz="0" w:space="0" w:color="auto"/>
                <w:right w:val="none" w:sz="0" w:space="0" w:color="auto"/>
              </w:divBdr>
            </w:div>
            <w:div w:id="1549880393">
              <w:marLeft w:val="0"/>
              <w:marRight w:val="0"/>
              <w:marTop w:val="0"/>
              <w:marBottom w:val="0"/>
              <w:divBdr>
                <w:top w:val="none" w:sz="0" w:space="0" w:color="auto"/>
                <w:left w:val="none" w:sz="0" w:space="0" w:color="auto"/>
                <w:bottom w:val="none" w:sz="0" w:space="0" w:color="auto"/>
                <w:right w:val="none" w:sz="0" w:space="0" w:color="auto"/>
              </w:divBdr>
            </w:div>
            <w:div w:id="839007040">
              <w:marLeft w:val="0"/>
              <w:marRight w:val="0"/>
              <w:marTop w:val="0"/>
              <w:marBottom w:val="0"/>
              <w:divBdr>
                <w:top w:val="none" w:sz="0" w:space="0" w:color="auto"/>
                <w:left w:val="none" w:sz="0" w:space="0" w:color="auto"/>
                <w:bottom w:val="none" w:sz="0" w:space="0" w:color="auto"/>
                <w:right w:val="none" w:sz="0" w:space="0" w:color="auto"/>
              </w:divBdr>
            </w:div>
            <w:div w:id="566693569">
              <w:marLeft w:val="0"/>
              <w:marRight w:val="0"/>
              <w:marTop w:val="0"/>
              <w:marBottom w:val="0"/>
              <w:divBdr>
                <w:top w:val="none" w:sz="0" w:space="0" w:color="auto"/>
                <w:left w:val="none" w:sz="0" w:space="0" w:color="auto"/>
                <w:bottom w:val="none" w:sz="0" w:space="0" w:color="auto"/>
                <w:right w:val="none" w:sz="0" w:space="0" w:color="auto"/>
              </w:divBdr>
            </w:div>
            <w:div w:id="24840082">
              <w:marLeft w:val="0"/>
              <w:marRight w:val="0"/>
              <w:marTop w:val="0"/>
              <w:marBottom w:val="0"/>
              <w:divBdr>
                <w:top w:val="none" w:sz="0" w:space="0" w:color="auto"/>
                <w:left w:val="none" w:sz="0" w:space="0" w:color="auto"/>
                <w:bottom w:val="none" w:sz="0" w:space="0" w:color="auto"/>
                <w:right w:val="none" w:sz="0" w:space="0" w:color="auto"/>
              </w:divBdr>
            </w:div>
            <w:div w:id="47731619">
              <w:marLeft w:val="0"/>
              <w:marRight w:val="0"/>
              <w:marTop w:val="0"/>
              <w:marBottom w:val="0"/>
              <w:divBdr>
                <w:top w:val="none" w:sz="0" w:space="0" w:color="auto"/>
                <w:left w:val="none" w:sz="0" w:space="0" w:color="auto"/>
                <w:bottom w:val="none" w:sz="0" w:space="0" w:color="auto"/>
                <w:right w:val="none" w:sz="0" w:space="0" w:color="auto"/>
              </w:divBdr>
            </w:div>
            <w:div w:id="62870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pt.int/sites/default/files/2018/03/APG19-3-INP-35_New_Zealand_WP2_0.docx" TargetMode="External"/><Relationship Id="rId18" Type="http://schemas.openxmlformats.org/officeDocument/2006/relationships/hyperlink" Target="https://www.apt.int/sites/default/files/2018/03/APG19-3-INP-83_Vietnam_WP2.docx" TargetMode="External"/><Relationship Id="rId26" Type="http://schemas.openxmlformats.org/officeDocument/2006/relationships/hyperlink" Target="https://www.apt.int/sites/default/files/2018/03/APG19-3-INP-42_Australia_WP2.docx" TargetMode="External"/><Relationship Id="rId39" Type="http://schemas.openxmlformats.org/officeDocument/2006/relationships/footer" Target="footer3.xml"/><Relationship Id="rId21" Type="http://schemas.openxmlformats.org/officeDocument/2006/relationships/hyperlink" Target="https://www.apt.int/sites/default/files/2018/03/APG19-3-INF-06_CEPT_Preparation.pdf" TargetMode="External"/><Relationship Id="rId34" Type="http://schemas.openxmlformats.org/officeDocument/2006/relationships/hyperlink" Target="https://www.apt.int/sites/default/files/2018/03/APG19-3-INF-08Rev.1_CITEL_Preparation.pdf"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apt.int/sites/default/files/2018/03/APG19-3-INP-70_Singapore-Thailand_WP2.docx" TargetMode="External"/><Relationship Id="rId20" Type="http://schemas.openxmlformats.org/officeDocument/2006/relationships/hyperlink" Target="https://www.apt.int/sites/default/files/2018/03/APG19-3-INP-97Rev.1_BGD_WP2.docx" TargetMode="External"/><Relationship Id="rId29" Type="http://schemas.openxmlformats.org/officeDocument/2006/relationships/hyperlink" Target="https://www.apt.int/sites/default/files/2018/03/APG19-3-INP-79_Indonesia_WP2.docx"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pt.int/sites/default/files/2018/03/APG19-3-INP-22_KOR-WP2.docx" TargetMode="External"/><Relationship Id="rId24" Type="http://schemas.openxmlformats.org/officeDocument/2006/relationships/hyperlink" Target="https://www.apt.int/sites/default/files/2018/03/APG19-3-INP-29Rev.1_IRN_WP2.docx" TargetMode="External"/><Relationship Id="rId32" Type="http://schemas.openxmlformats.org/officeDocument/2006/relationships/hyperlink" Target="https://www.apt.int/sites/default/files/2018/03/APG19-3-INP-97Rev.1_BGD_WP2.docx" TargetMode="External"/><Relationship Id="rId37" Type="http://schemas.openxmlformats.org/officeDocument/2006/relationships/footer" Target="footer1.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apt.int/sites/default/files/2018/03/APG19-3-INP-50_Japan_WP2.docx" TargetMode="External"/><Relationship Id="rId23" Type="http://schemas.openxmlformats.org/officeDocument/2006/relationships/hyperlink" Target="https://www.apt.int/sites/default/files/2018/03/APG19-3-INP-22_KOR-WP2.docx" TargetMode="External"/><Relationship Id="rId28" Type="http://schemas.openxmlformats.org/officeDocument/2006/relationships/hyperlink" Target="https://www.apt.int/sites/default/files/2018/03/APG19-3-INP-70_Singapore-Thailand_WP2.docx" TargetMode="External"/><Relationship Id="rId36" Type="http://schemas.openxmlformats.org/officeDocument/2006/relationships/header" Target="header1.xml"/><Relationship Id="rId10" Type="http://schemas.openxmlformats.org/officeDocument/2006/relationships/hyperlink" Target="https://www.itu.int/dms_ties/itu-r/md/15/wp4c/c/R15-WP4C-C-0343!N15!MSW-E.docx" TargetMode="External"/><Relationship Id="rId19" Type="http://schemas.openxmlformats.org/officeDocument/2006/relationships/hyperlink" Target="https://www.apt.int/sites/default/files/2018/03/APG19-3-INP-87_China_WP2.docx" TargetMode="External"/><Relationship Id="rId31" Type="http://schemas.openxmlformats.org/officeDocument/2006/relationships/hyperlink" Target="https://www.apt.int/sites/default/files/2018/03/APG19-3-INP-87_China_WP2.docx" TargetMode="External"/><Relationship Id="rId4" Type="http://schemas.openxmlformats.org/officeDocument/2006/relationships/settings" Target="settings.xml"/><Relationship Id="rId9" Type="http://schemas.openxmlformats.org/officeDocument/2006/relationships/hyperlink" Target="https://www.itu.int/dms_ties/itu-r/md/15/wp5d/c/R15-WP5D-C-0875!H04!MSW-E.docx" TargetMode="External"/><Relationship Id="rId14" Type="http://schemas.openxmlformats.org/officeDocument/2006/relationships/hyperlink" Target="https://www.apt.int/sites/default/files/2018/03/APG19-3-INP-42_Australia_WP2.docx" TargetMode="External"/><Relationship Id="rId22" Type="http://schemas.openxmlformats.org/officeDocument/2006/relationships/hyperlink" Target="https://www.apt.int/sites/default/files/2018/03/APG19-3-INF-08Rev.1_CITEL_Preparation.pdf" TargetMode="External"/><Relationship Id="rId27" Type="http://schemas.openxmlformats.org/officeDocument/2006/relationships/hyperlink" Target="https://www.apt.int/sites/default/files/2018/03/APG19-3-INP-50_Japan_WP2.docx" TargetMode="External"/><Relationship Id="rId30" Type="http://schemas.openxmlformats.org/officeDocument/2006/relationships/hyperlink" Target="https://www.apt.int/sites/default/files/2018/03/APG19-3-INP-83_Vietnam_WP2.docx" TargetMode="External"/><Relationship Id="rId35" Type="http://schemas.openxmlformats.org/officeDocument/2006/relationships/hyperlink" Target="http://www.apt.int/sites/default/files/2017/07/APG19-2-INF-05_RCC.docx" TargetMode="Externa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https://www.apt.int/sites/default/files/2018/03/APG19-3-INP-29Rev.1_IRN_WP2.docx" TargetMode="External"/><Relationship Id="rId17" Type="http://schemas.openxmlformats.org/officeDocument/2006/relationships/hyperlink" Target="https://www.apt.int/sites/default/files/2018/03/APG19-3-INP-79_Indonesia_WP2.docx" TargetMode="External"/><Relationship Id="rId25" Type="http://schemas.openxmlformats.org/officeDocument/2006/relationships/hyperlink" Target="https://www.apt.int/sites/default/files/2018/03/APG19-3-INP-35_New_Zealand_WP2_0.docx" TargetMode="External"/><Relationship Id="rId33" Type="http://schemas.openxmlformats.org/officeDocument/2006/relationships/hyperlink" Target="https://www.apt.int/sites/default/files/2018/03/APG19-3-INF-06_CEPT_Preparation.pdf" TargetMode="External"/><Relationship Id="rId38"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hyperlink" Target="mailto:kyungmee5@korea.k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C04C89-3789-4043-89A8-847734520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3185</Words>
  <Characters>18161</Characters>
  <Application>Microsoft Office Word</Application>
  <DocSecurity>0</DocSecurity>
  <Lines>151</Lines>
  <Paragraphs>42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APT</Company>
  <LinksUpToDate>false</LinksUpToDate>
  <CharactersWithSpaces>21304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Arnold</dc:creator>
  <cp:lastModifiedBy>Forhadul Parvez</cp:lastModifiedBy>
  <cp:revision>5</cp:revision>
  <cp:lastPrinted>2015-02-02T07:28:00Z</cp:lastPrinted>
  <dcterms:created xsi:type="dcterms:W3CDTF">2018-03-16T05:20:00Z</dcterms:created>
  <dcterms:modified xsi:type="dcterms:W3CDTF">2018-03-20T02:22:00Z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C:\Users\user\Documents\김경미\WRC-19\APG19-3\WP 2\temp from DG\DG9.1.1OutputDoc.2.WP2_14March.docx</vt:lpwstr>
  </property>
</Properties>
</file>