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AE6B94" w:rsidRPr="00891D0B" w:rsidTr="00EB70BE">
        <w:trPr>
          <w:cantSplit/>
        </w:trPr>
        <w:tc>
          <w:tcPr>
            <w:tcW w:w="1399" w:type="dxa"/>
            <w:vMerge w:val="restart"/>
          </w:tcPr>
          <w:p w:rsidR="00AE6B94" w:rsidRPr="00891D0B" w:rsidRDefault="00AE6B94" w:rsidP="00AE6B94">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208C1679" wp14:editId="3946E33E">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AE6B94" w:rsidRPr="00441526" w:rsidRDefault="00AE6B94" w:rsidP="00AE6B94">
            <w:r w:rsidRPr="00441526">
              <w:t>ASIA-PACIFIC TELECOMMUNITY</w:t>
            </w:r>
          </w:p>
        </w:tc>
        <w:tc>
          <w:tcPr>
            <w:tcW w:w="2700" w:type="dxa"/>
          </w:tcPr>
          <w:p w:rsidR="00AE6B94" w:rsidRPr="00441526" w:rsidRDefault="00AE6B94" w:rsidP="00AE6B94">
            <w:pPr>
              <w:rPr>
                <w:b/>
                <w:bCs/>
                <w:lang w:val="fr-FR"/>
              </w:rPr>
            </w:pPr>
            <w:r w:rsidRPr="00441526">
              <w:rPr>
                <w:b/>
                <w:lang w:val="fr-FR"/>
              </w:rPr>
              <w:t>Document</w:t>
            </w:r>
            <w:r>
              <w:rPr>
                <w:b/>
                <w:lang w:val="fr-FR"/>
              </w:rPr>
              <w:t xml:space="preserve"> No</w:t>
            </w:r>
            <w:r w:rsidRPr="00441526">
              <w:rPr>
                <w:b/>
                <w:lang w:val="fr-FR"/>
              </w:rPr>
              <w:t xml:space="preserve">: </w:t>
            </w:r>
          </w:p>
        </w:tc>
      </w:tr>
      <w:tr w:rsidR="00AE6B94" w:rsidRPr="00C15799" w:rsidTr="00EB70BE">
        <w:trPr>
          <w:cantSplit/>
        </w:trPr>
        <w:tc>
          <w:tcPr>
            <w:tcW w:w="1399" w:type="dxa"/>
            <w:vMerge/>
          </w:tcPr>
          <w:p w:rsidR="00AE6B94" w:rsidRPr="00891D0B" w:rsidRDefault="00AE6B94" w:rsidP="00AE6B94"/>
        </w:tc>
        <w:tc>
          <w:tcPr>
            <w:tcW w:w="5720" w:type="dxa"/>
          </w:tcPr>
          <w:p w:rsidR="00AE6B94" w:rsidRPr="00441526" w:rsidRDefault="00AE6B94" w:rsidP="00AE6B94">
            <w:pPr>
              <w:spacing w:line="0" w:lineRule="atLeast"/>
            </w:pPr>
            <w:r w:rsidRPr="00441526">
              <w:rPr>
                <w:b/>
              </w:rPr>
              <w:t>The 3rd Meeting of the APT Conference Preparatory Group for WRC-19 (APG19-3)</w:t>
            </w:r>
          </w:p>
        </w:tc>
        <w:tc>
          <w:tcPr>
            <w:tcW w:w="2700" w:type="dxa"/>
          </w:tcPr>
          <w:p w:rsidR="00AE6B94" w:rsidRPr="00441526" w:rsidRDefault="00AE6B94" w:rsidP="00AE6B94">
            <w:pPr>
              <w:rPr>
                <w:b/>
                <w:bCs/>
                <w:lang w:val="fr-FR" w:eastAsia="ko-KR"/>
              </w:rPr>
            </w:pPr>
            <w:r w:rsidRPr="00441526">
              <w:rPr>
                <w:b/>
                <w:bCs/>
                <w:lang w:val="fr-FR"/>
              </w:rPr>
              <w:t>APG19-3/</w:t>
            </w:r>
            <w:r w:rsidR="002C2CE2">
              <w:rPr>
                <w:rFonts w:hint="eastAsia"/>
                <w:b/>
                <w:bCs/>
                <w:lang w:val="fr-FR"/>
              </w:rPr>
              <w:t>OUT</w:t>
            </w:r>
            <w:r w:rsidR="002C2CE2">
              <w:rPr>
                <w:rFonts w:hint="eastAsia"/>
                <w:b/>
                <w:bCs/>
                <w:lang w:val="fr-FR" w:eastAsia="ko-KR"/>
              </w:rPr>
              <w:t>-</w:t>
            </w:r>
            <w:r w:rsidR="00525E53">
              <w:rPr>
                <w:b/>
                <w:bCs/>
                <w:lang w:val="fr-FR" w:eastAsia="ko-KR"/>
              </w:rPr>
              <w:t>11</w:t>
            </w:r>
          </w:p>
        </w:tc>
      </w:tr>
      <w:tr w:rsidR="00AE6B94" w:rsidRPr="00891D0B" w:rsidTr="00EB70BE">
        <w:trPr>
          <w:cantSplit/>
          <w:trHeight w:val="219"/>
        </w:trPr>
        <w:tc>
          <w:tcPr>
            <w:tcW w:w="1399" w:type="dxa"/>
            <w:vMerge/>
          </w:tcPr>
          <w:p w:rsidR="00AE6B94" w:rsidRPr="00C15799" w:rsidRDefault="00AE6B94" w:rsidP="00AE6B94">
            <w:pPr>
              <w:rPr>
                <w:lang w:val="fr-FR"/>
              </w:rPr>
            </w:pPr>
          </w:p>
        </w:tc>
        <w:tc>
          <w:tcPr>
            <w:tcW w:w="5720" w:type="dxa"/>
          </w:tcPr>
          <w:p w:rsidR="00AE6B94" w:rsidRPr="00441526" w:rsidRDefault="00AE6B94" w:rsidP="00AE6B94">
            <w:r w:rsidRPr="00441526">
              <w:t>12 – 1</w:t>
            </w:r>
            <w:r>
              <w:t>6</w:t>
            </w:r>
            <w:r w:rsidRPr="00441526">
              <w:t xml:space="preserve"> March 2018, Perth, Australia</w:t>
            </w:r>
          </w:p>
        </w:tc>
        <w:tc>
          <w:tcPr>
            <w:tcW w:w="2700" w:type="dxa"/>
          </w:tcPr>
          <w:p w:rsidR="00AE6B94" w:rsidRPr="00441526" w:rsidRDefault="00607731" w:rsidP="00AE6B94">
            <w:pPr>
              <w:rPr>
                <w:b/>
              </w:rPr>
            </w:pPr>
            <w:r>
              <w:rPr>
                <w:b/>
              </w:rPr>
              <w:t>16</w:t>
            </w:r>
            <w:r w:rsidR="00AE6B94" w:rsidRPr="00441526">
              <w:rPr>
                <w:b/>
              </w:rPr>
              <w:t xml:space="preserve"> March 2018</w:t>
            </w:r>
          </w:p>
        </w:tc>
      </w:tr>
    </w:tbl>
    <w:p w:rsidR="00D13D9D" w:rsidRPr="007673CA" w:rsidRDefault="00D13D9D" w:rsidP="00DA7595">
      <w:pPr>
        <w:rPr>
          <w:lang w:val="en-NZ" w:eastAsia="ko-KR"/>
        </w:rPr>
      </w:pPr>
    </w:p>
    <w:p w:rsidR="00C661D1" w:rsidRDefault="00C661D1" w:rsidP="00C661D1">
      <w:pPr>
        <w:jc w:val="center"/>
        <w:rPr>
          <w:lang w:val="en-NZ" w:eastAsia="ko-KR"/>
        </w:rPr>
      </w:pPr>
    </w:p>
    <w:p w:rsidR="00AE6B94" w:rsidRPr="002A0111" w:rsidRDefault="002C2CE2" w:rsidP="00AE6B94">
      <w:pPr>
        <w:jc w:val="center"/>
        <w:rPr>
          <w:lang w:val="en-NZ" w:eastAsia="ko-KR"/>
        </w:rPr>
      </w:pPr>
      <w:r>
        <w:rPr>
          <w:lang w:val="en-NZ" w:eastAsia="ko-KR"/>
        </w:rPr>
        <w:t>Working Party 2</w:t>
      </w:r>
    </w:p>
    <w:p w:rsidR="00AE6B94" w:rsidRPr="002A0111" w:rsidRDefault="00AE6B94" w:rsidP="00AE6B94">
      <w:pPr>
        <w:jc w:val="center"/>
        <w:rPr>
          <w:bCs/>
          <w:caps/>
          <w:lang w:val="en-NZ"/>
        </w:rPr>
      </w:pPr>
    </w:p>
    <w:p w:rsidR="00AE6B94" w:rsidRPr="00441526" w:rsidRDefault="00AE6B94" w:rsidP="00AE6B94">
      <w:pPr>
        <w:jc w:val="center"/>
        <w:rPr>
          <w:b/>
          <w:bCs/>
          <w:caps/>
          <w:lang w:val="en-NZ"/>
        </w:rPr>
      </w:pPr>
      <w:r w:rsidRPr="00441526">
        <w:rPr>
          <w:b/>
          <w:bCs/>
          <w:caps/>
          <w:lang w:val="en-NZ"/>
        </w:rPr>
        <w:t>PRELIMINARY</w:t>
      </w:r>
      <w:r>
        <w:rPr>
          <w:b/>
          <w:bCs/>
          <w:caps/>
          <w:lang w:val="en-NZ"/>
        </w:rPr>
        <w:t xml:space="preserve"> VIEWs on WRC-19 agenda item</w:t>
      </w:r>
      <w:r w:rsidR="00100122">
        <w:rPr>
          <w:b/>
          <w:bCs/>
          <w:caps/>
          <w:lang w:val="en-NZ"/>
        </w:rPr>
        <w:t xml:space="preserve"> 9.1, ISSUE 9.1.5</w:t>
      </w:r>
    </w:p>
    <w:p w:rsidR="00AE6B94" w:rsidRPr="00441526" w:rsidRDefault="00AE6B94" w:rsidP="00AE6B94">
      <w:pPr>
        <w:spacing w:after="120"/>
        <w:rPr>
          <w:lang w:val="en-NZ"/>
        </w:rPr>
      </w:pPr>
    </w:p>
    <w:p w:rsidR="00100122" w:rsidRDefault="00100122" w:rsidP="00100122">
      <w:pPr>
        <w:jc w:val="both"/>
        <w:rPr>
          <w:lang w:val="en-NZ"/>
        </w:rPr>
      </w:pPr>
      <w:r>
        <w:rPr>
          <w:b/>
          <w:lang w:val="en-NZ"/>
        </w:rPr>
        <w:t xml:space="preserve">Agenda Item 9.1, Issue 9.1.5: </w:t>
      </w:r>
    </w:p>
    <w:p w:rsidR="00100122" w:rsidRDefault="00100122" w:rsidP="00100122">
      <w:pPr>
        <w:jc w:val="both"/>
        <w:rPr>
          <w:i/>
          <w:lang w:val="en-NZ"/>
        </w:rPr>
      </w:pPr>
      <w:r>
        <w:rPr>
          <w:i/>
          <w:lang w:val="en-AU"/>
        </w:rPr>
        <w:t xml:space="preserve">Resolution </w:t>
      </w:r>
      <w:r>
        <w:rPr>
          <w:b/>
          <w:iCs/>
          <w:lang w:eastAsia="ko-KR"/>
        </w:rPr>
        <w:t>764 (WRC- 15)</w:t>
      </w:r>
      <w:r>
        <w:rPr>
          <w:i/>
          <w:lang w:eastAsia="ko-KR"/>
        </w:rPr>
        <w:t xml:space="preserve"> - </w:t>
      </w:r>
      <w:r>
        <w:rPr>
          <w:rFonts w:eastAsia="SimSun"/>
          <w:bCs/>
          <w:i/>
          <w:iCs/>
          <w:lang w:eastAsia="zh-CN"/>
        </w:rPr>
        <w:t>Consideration of the technical and regulatory impacts of referencing Recommendations ITU-R M.1638-1 and ITU-R M.1849-1 in Nos. 5.447F and 5.450A of the Radio Regulations.</w:t>
      </w:r>
    </w:p>
    <w:p w:rsidR="00B64A60" w:rsidRPr="00100122" w:rsidRDefault="00B64A60" w:rsidP="00B64A60">
      <w:pPr>
        <w:jc w:val="both"/>
        <w:rPr>
          <w:lang w:val="en-NZ"/>
        </w:rPr>
      </w:pPr>
    </w:p>
    <w:p w:rsidR="00B64A60" w:rsidRPr="00710333" w:rsidRDefault="00B64A60" w:rsidP="00B64A60">
      <w:pPr>
        <w:spacing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rsidR="00100122" w:rsidRDefault="00100122" w:rsidP="00100122">
      <w:pPr>
        <w:spacing w:after="120"/>
        <w:jc w:val="both"/>
        <w:rPr>
          <w:lang w:eastAsia="ko-KR"/>
        </w:rPr>
      </w:pPr>
      <w:r>
        <w:t xml:space="preserve">Resolution </w:t>
      </w:r>
      <w:r>
        <w:rPr>
          <w:b/>
          <w:lang w:eastAsia="ko-KR"/>
        </w:rPr>
        <w:t>764</w:t>
      </w:r>
      <w:r>
        <w:rPr>
          <w:b/>
          <w:bCs/>
        </w:rPr>
        <w:t xml:space="preserve"> (WRC</w:t>
      </w:r>
      <w:r>
        <w:rPr>
          <w:b/>
          <w:bCs/>
        </w:rPr>
        <w:noBreakHyphen/>
        <w:t>15)</w:t>
      </w:r>
      <w:r>
        <w:t xml:space="preserve"> </w:t>
      </w:r>
      <w:r>
        <w:rPr>
          <w:lang w:eastAsia="ko-KR"/>
        </w:rPr>
        <w:t>resolves to invite ITU-R:</w:t>
      </w:r>
    </w:p>
    <w:p w:rsidR="00100122" w:rsidRDefault="00100122" w:rsidP="00100122">
      <w:pPr>
        <w:spacing w:after="120"/>
        <w:ind w:firstLine="720"/>
        <w:jc w:val="both"/>
        <w:rPr>
          <w:rFonts w:eastAsiaTheme="minorEastAsia"/>
          <w:lang w:eastAsia="ko-KR"/>
        </w:rPr>
      </w:pPr>
      <w:r>
        <w:rPr>
          <w:rFonts w:eastAsia="Calibri"/>
        </w:rPr>
        <w:t>1</w:t>
      </w:r>
      <w:r>
        <w:rPr>
          <w:rFonts w:eastAsia="Calibri"/>
        </w:rPr>
        <w:tab/>
        <w:t xml:space="preserve">to investigate the technical and regulatory impacts on the services referred to in Nos. </w:t>
      </w:r>
      <w:r>
        <w:rPr>
          <w:rFonts w:eastAsia="Calibri"/>
          <w:b/>
        </w:rPr>
        <w:t>5.447F</w:t>
      </w:r>
      <w:r>
        <w:rPr>
          <w:rFonts w:eastAsia="Calibri"/>
        </w:rPr>
        <w:t xml:space="preserve"> and </w:t>
      </w:r>
      <w:r>
        <w:rPr>
          <w:rFonts w:eastAsia="Calibri"/>
          <w:b/>
        </w:rPr>
        <w:t>5.450A</w:t>
      </w:r>
      <w:r>
        <w:rPr>
          <w:rFonts w:eastAsia="Calibri"/>
        </w:rPr>
        <w:t xml:space="preserve"> that would result from referencing Recommendation ITU R M.1638</w:t>
      </w:r>
      <w:r>
        <w:rPr>
          <w:rFonts w:eastAsiaTheme="minorEastAsia"/>
          <w:lang w:eastAsia="ko-KR"/>
        </w:rPr>
        <w:t>-</w:t>
      </w:r>
      <w:r>
        <w:rPr>
          <w:rFonts w:eastAsia="Calibri"/>
        </w:rPr>
        <w:t>1 in place of Recommendation ITU R M.1638</w:t>
      </w:r>
      <w:r>
        <w:rPr>
          <w:rFonts w:eastAsiaTheme="minorEastAsia"/>
          <w:lang w:eastAsia="ko-KR"/>
        </w:rPr>
        <w:t>-</w:t>
      </w:r>
      <w:r>
        <w:rPr>
          <w:rFonts w:eastAsia="Calibri"/>
        </w:rPr>
        <w:t>0 in those footnotes, while ensuring that no undue constraints are imposed on the services referenced in these footnotes;</w:t>
      </w:r>
    </w:p>
    <w:p w:rsidR="00100122" w:rsidRDefault="00100122" w:rsidP="00100122">
      <w:pPr>
        <w:spacing w:after="120"/>
        <w:ind w:firstLine="720"/>
        <w:jc w:val="both"/>
        <w:rPr>
          <w:rFonts w:asciiTheme="minorEastAsia" w:eastAsiaTheme="minorEastAsia" w:hAnsiTheme="minorEastAsia"/>
          <w:lang w:eastAsia="zh-CN"/>
        </w:rPr>
      </w:pPr>
      <w:r>
        <w:rPr>
          <w:rFonts w:eastAsia="Calibri"/>
        </w:rPr>
        <w:t>2</w:t>
      </w:r>
      <w:r>
        <w:rPr>
          <w:rFonts w:eastAsia="Calibri"/>
        </w:rPr>
        <w:tab/>
        <w:t xml:space="preserve">to investigate the technical and regulatory impacts on the services referred to in Nos </w:t>
      </w:r>
      <w:r>
        <w:rPr>
          <w:rFonts w:eastAsia="Calibri"/>
          <w:b/>
        </w:rPr>
        <w:t>5.447F</w:t>
      </w:r>
      <w:r>
        <w:rPr>
          <w:rFonts w:eastAsia="Calibri"/>
        </w:rPr>
        <w:t xml:space="preserve"> and </w:t>
      </w:r>
      <w:r>
        <w:rPr>
          <w:rFonts w:eastAsia="Calibri"/>
          <w:b/>
        </w:rPr>
        <w:t>5.450A</w:t>
      </w:r>
      <w:r>
        <w:rPr>
          <w:rFonts w:eastAsia="Calibri"/>
        </w:rPr>
        <w:t xml:space="preserve"> that would result from adding a new reference to Recommendation ITU R M.1849</w:t>
      </w:r>
      <w:r>
        <w:rPr>
          <w:rFonts w:eastAsiaTheme="minorEastAsia"/>
          <w:lang w:eastAsia="ko-KR"/>
        </w:rPr>
        <w:t>-</w:t>
      </w:r>
      <w:r>
        <w:rPr>
          <w:rFonts w:eastAsia="Calibri"/>
        </w:rPr>
        <w:t>1 to these footnotes, while ensuring that no undue constraints are imposed on the services referenced in these footnotes</w:t>
      </w:r>
      <w:r>
        <w:rPr>
          <w:rFonts w:asciiTheme="minorEastAsia" w:eastAsiaTheme="minorEastAsia" w:hAnsiTheme="minorEastAsia" w:hint="eastAsia"/>
          <w:lang w:eastAsia="zh-CN"/>
        </w:rPr>
        <w:t>.</w:t>
      </w:r>
    </w:p>
    <w:p w:rsidR="00100122" w:rsidRDefault="00100122" w:rsidP="00100122">
      <w:pPr>
        <w:spacing w:before="120" w:after="120"/>
        <w:jc w:val="both"/>
        <w:rPr>
          <w:rFonts w:eastAsia="SimSun"/>
          <w:lang w:eastAsia="zh-CN"/>
        </w:rPr>
      </w:pPr>
      <w:r>
        <w:rPr>
          <w:rFonts w:eastAsia="SimSun"/>
          <w:lang w:eastAsia="zh-CN"/>
        </w:rPr>
        <w:t xml:space="preserve">At the latest ITU-R WP5A meeting, the draft CPM text and workplan are kept unchanged from the previous WP 5A meeting due to the lack of time. </w:t>
      </w:r>
    </w:p>
    <w:p w:rsidR="006A6E98" w:rsidRDefault="00C032D6" w:rsidP="00100122">
      <w:pPr>
        <w:spacing w:after="120"/>
        <w:jc w:val="both"/>
      </w:pPr>
      <w:r>
        <w:t>Therefore</w:t>
      </w:r>
      <w:r w:rsidR="006A6E98">
        <w:t>,</w:t>
      </w:r>
      <w:r w:rsidR="006A6E98" w:rsidRPr="006A6E98">
        <w:t xml:space="preserve"> </w:t>
      </w:r>
      <w:r w:rsidR="006A6E98" w:rsidRPr="006A6E98">
        <w:rPr>
          <w:bCs/>
        </w:rPr>
        <w:t>WP 5A</w:t>
      </w:r>
      <w:r w:rsidR="006A6E98" w:rsidRPr="006A6E98">
        <w:t xml:space="preserve"> w</w:t>
      </w:r>
      <w:r w:rsidR="006A6E98">
        <w:t xml:space="preserve">ere not yet be able to finalize the existing text for conclusion the studies </w:t>
      </w:r>
      <w:proofErr w:type="gramStart"/>
      <w:r w:rsidR="006A6E98">
        <w:t>before</w:t>
      </w:r>
      <w:proofErr w:type="gramEnd"/>
      <w:r w:rsidR="006A6E98">
        <w:t xml:space="preserve"> completing of studies albeit the addressed results of conducted studies are convergent.</w:t>
      </w:r>
    </w:p>
    <w:p w:rsidR="00100122" w:rsidRDefault="00100122" w:rsidP="00100122">
      <w:pPr>
        <w:snapToGrid w:val="0"/>
        <w:spacing w:beforeLines="50" w:before="120" w:afterLines="50" w:after="120"/>
        <w:jc w:val="both"/>
        <w:rPr>
          <w:rFonts w:eastAsiaTheme="minorEastAsia"/>
          <w:lang w:eastAsia="zh-CN"/>
        </w:rPr>
      </w:pPr>
      <w:r>
        <w:rPr>
          <w:rFonts w:eastAsiaTheme="minorEastAsia"/>
          <w:lang w:eastAsia="zh-CN"/>
        </w:rPr>
        <w:t>Relevant ITU-R Reports/Recommendations and ongoing studies are as follows,</w:t>
      </w:r>
    </w:p>
    <w:p w:rsidR="00100122" w:rsidRDefault="00100122" w:rsidP="00100122">
      <w:pPr>
        <w:pStyle w:val="ListParagraph"/>
        <w:numPr>
          <w:ilvl w:val="0"/>
          <w:numId w:val="29"/>
        </w:numPr>
        <w:snapToGrid w:val="0"/>
        <w:spacing w:before="120" w:after="120"/>
        <w:jc w:val="both"/>
        <w:rPr>
          <w:lang w:val="en-GB"/>
        </w:rPr>
      </w:pPr>
      <w:r>
        <w:rPr>
          <w:lang w:val="en-GB"/>
        </w:rPr>
        <w:t xml:space="preserve">Recommendation ITU-R M.1638-0 - Characteristics of and protection criteria for sharing studies for radiolocation, aeronautical </w:t>
      </w:r>
      <w:proofErr w:type="spellStart"/>
      <w:r>
        <w:rPr>
          <w:lang w:val="en-GB"/>
        </w:rPr>
        <w:t>radionavigation</w:t>
      </w:r>
      <w:proofErr w:type="spellEnd"/>
      <w:r>
        <w:rPr>
          <w:lang w:val="en-GB"/>
        </w:rPr>
        <w:t xml:space="preserve"> and meteorological radars operating in the frequency bands between 5 250 and 5 850 MHz</w:t>
      </w:r>
    </w:p>
    <w:p w:rsidR="00100122" w:rsidRDefault="00100122" w:rsidP="00100122">
      <w:pPr>
        <w:pStyle w:val="ListParagraph"/>
        <w:numPr>
          <w:ilvl w:val="0"/>
          <w:numId w:val="29"/>
        </w:numPr>
        <w:snapToGrid w:val="0"/>
        <w:spacing w:before="120" w:after="120"/>
        <w:jc w:val="both"/>
        <w:rPr>
          <w:lang w:val="en-GB"/>
        </w:rPr>
      </w:pPr>
      <w:r>
        <w:rPr>
          <w:lang w:val="en-GB"/>
        </w:rPr>
        <w:t xml:space="preserve">Recommendation ITU-R M.1638-1 - Characteristics of and protection criteria for sharing studies for radiolocation (except ground based meteorological radars) and aeronautical </w:t>
      </w:r>
      <w:proofErr w:type="spellStart"/>
      <w:r>
        <w:rPr>
          <w:lang w:val="en-GB"/>
        </w:rPr>
        <w:t>radionavigation</w:t>
      </w:r>
      <w:proofErr w:type="spellEnd"/>
      <w:r>
        <w:rPr>
          <w:lang w:val="en-GB"/>
        </w:rPr>
        <w:t xml:space="preserve"> radars operating in the frequency bands between 5 250 and 5 850 MHz</w:t>
      </w:r>
    </w:p>
    <w:p w:rsidR="00100122" w:rsidRDefault="00100122" w:rsidP="00100122">
      <w:pPr>
        <w:pStyle w:val="ListParagraph"/>
        <w:numPr>
          <w:ilvl w:val="0"/>
          <w:numId w:val="29"/>
        </w:numPr>
        <w:snapToGrid w:val="0"/>
        <w:spacing w:before="120" w:after="120"/>
        <w:jc w:val="both"/>
        <w:rPr>
          <w:lang w:val="en-GB"/>
        </w:rPr>
      </w:pPr>
      <w:r>
        <w:rPr>
          <w:lang w:val="en-GB"/>
        </w:rPr>
        <w:t>Recommendation ITU-R M.1849-1 - Technical and operational aspects of ground-based meteorological radars</w:t>
      </w:r>
    </w:p>
    <w:p w:rsidR="0058627A" w:rsidRPr="006E0245" w:rsidRDefault="00AA6862" w:rsidP="0058627A">
      <w:pPr>
        <w:pStyle w:val="ListParagraph"/>
        <w:numPr>
          <w:ilvl w:val="0"/>
          <w:numId w:val="21"/>
        </w:numPr>
        <w:snapToGrid w:val="0"/>
        <w:spacing w:before="120" w:after="120"/>
        <w:jc w:val="both"/>
        <w:rPr>
          <w:lang w:val="en-GB"/>
        </w:rPr>
      </w:pPr>
      <w:r w:rsidRPr="006E0245">
        <w:rPr>
          <w:lang w:val="en-GB"/>
        </w:rPr>
        <w:t xml:space="preserve">Annexes </w:t>
      </w:r>
      <w:r w:rsidR="006E0245" w:rsidRPr="006E0245">
        <w:rPr>
          <w:lang w:val="en-GB"/>
        </w:rPr>
        <w:t>12, 13</w:t>
      </w:r>
      <w:r w:rsidRPr="006E0245">
        <w:rPr>
          <w:lang w:val="en-GB"/>
        </w:rPr>
        <w:t xml:space="preserve"> to Working Party 5A Chairman’s Report</w:t>
      </w:r>
      <w:r w:rsidR="0058627A" w:rsidRPr="006E0245">
        <w:rPr>
          <w:lang w:val="en-GB"/>
        </w:rPr>
        <w:t xml:space="preserve"> (</w:t>
      </w:r>
      <w:r w:rsidR="0058627A" w:rsidRPr="006E0245">
        <w:rPr>
          <w:rFonts w:hint="eastAsia"/>
          <w:lang w:val="en-GB" w:eastAsia="ko-KR"/>
        </w:rPr>
        <w:t xml:space="preserve">Doc. </w:t>
      </w:r>
      <w:r w:rsidR="006E0245" w:rsidRPr="006E0245">
        <w:rPr>
          <w:lang w:val="en-GB" w:eastAsia="ko-KR"/>
        </w:rPr>
        <w:t>5A/650</w:t>
      </w:r>
      <w:r w:rsidR="0058627A" w:rsidRPr="006E0245">
        <w:rPr>
          <w:rFonts w:hint="eastAsia"/>
          <w:lang w:val="en-GB" w:eastAsia="ko-KR"/>
        </w:rPr>
        <w:t>)</w:t>
      </w:r>
    </w:p>
    <w:p w:rsidR="00B64A60" w:rsidRPr="00710333" w:rsidRDefault="0058627A" w:rsidP="00AE6B94">
      <w:pPr>
        <w:spacing w:after="120"/>
        <w:jc w:val="both"/>
        <w:rPr>
          <w:b/>
          <w:lang w:val="en-NZ" w:eastAsia="ko-KR"/>
        </w:rPr>
      </w:pPr>
      <w:r w:rsidRPr="00AE6B94" w:rsidDel="0058627A">
        <w:rPr>
          <w:b/>
          <w:lang w:val="en-NZ" w:eastAsia="ko-KR"/>
        </w:rPr>
        <w:t xml:space="preserve"> </w:t>
      </w:r>
      <w:r w:rsidR="00B64A60" w:rsidRPr="00710333">
        <w:rPr>
          <w:b/>
          <w:lang w:val="en-NZ" w:eastAsia="ko-KR"/>
        </w:rPr>
        <w:t xml:space="preserve">2. </w:t>
      </w:r>
      <w:r w:rsidR="00B64A60">
        <w:rPr>
          <w:b/>
          <w:lang w:val="en-NZ" w:eastAsia="ko-KR"/>
        </w:rPr>
        <w:tab/>
      </w:r>
      <w:r w:rsidR="00B64A60" w:rsidRPr="00710333">
        <w:rPr>
          <w:b/>
          <w:lang w:val="en-NZ" w:eastAsia="ko-KR"/>
        </w:rPr>
        <w:t>Documents</w:t>
      </w:r>
    </w:p>
    <w:p w:rsidR="000A2425" w:rsidRPr="002C2CE2" w:rsidRDefault="005C0CEB" w:rsidP="00EB70BE">
      <w:pPr>
        <w:numPr>
          <w:ilvl w:val="0"/>
          <w:numId w:val="27"/>
        </w:numPr>
        <w:spacing w:beforeLines="50" w:before="120" w:afterLines="50" w:after="120"/>
        <w:ind w:leftChars="295" w:left="1068"/>
        <w:jc w:val="both"/>
        <w:rPr>
          <w:rFonts w:eastAsia="SimSun"/>
          <w:iCs/>
          <w:lang w:eastAsia="zh-CN"/>
        </w:rPr>
      </w:pPr>
      <w:r w:rsidRPr="005C0CEB">
        <w:rPr>
          <w:lang w:val="en-NZ"/>
        </w:rPr>
        <w:t>Input Documents</w:t>
      </w:r>
      <w:r>
        <w:rPr>
          <w:lang w:val="en-NZ"/>
        </w:rPr>
        <w:t>:</w:t>
      </w:r>
      <w:r w:rsidRPr="005C0CEB">
        <w:rPr>
          <w:lang w:val="en-NZ"/>
        </w:rPr>
        <w:t xml:space="preserve"> </w:t>
      </w:r>
      <w:r w:rsidR="00CA6F96" w:rsidRPr="005C0CEB">
        <w:rPr>
          <w:rFonts w:eastAsia="SimSun"/>
          <w:iCs/>
          <w:lang w:eastAsia="zh-CN"/>
        </w:rPr>
        <w:t>APG19-3/INP-22</w:t>
      </w:r>
      <w:r w:rsidR="00CD7085">
        <w:rPr>
          <w:rFonts w:eastAsia="SimSun"/>
          <w:iCs/>
          <w:lang w:eastAsia="zh-CN"/>
        </w:rPr>
        <w:t xml:space="preserve"> </w:t>
      </w:r>
      <w:r w:rsidR="000A2425" w:rsidRPr="005C0CEB">
        <w:rPr>
          <w:rFonts w:eastAsia="SimSun" w:hint="eastAsia"/>
          <w:iCs/>
          <w:lang w:eastAsia="zh-CN"/>
        </w:rPr>
        <w:t>(</w:t>
      </w:r>
      <w:r w:rsidR="000A2425" w:rsidRPr="005C0CEB">
        <w:rPr>
          <w:rFonts w:eastAsia="SimSun"/>
          <w:iCs/>
          <w:lang w:eastAsia="zh-CN"/>
        </w:rPr>
        <w:t>KOR</w:t>
      </w:r>
      <w:r w:rsidR="000A2425" w:rsidRPr="005C0CEB">
        <w:rPr>
          <w:rFonts w:eastAsia="SimSun" w:hint="eastAsia"/>
          <w:iCs/>
          <w:lang w:eastAsia="zh-CN"/>
        </w:rPr>
        <w:t xml:space="preserve">), </w:t>
      </w:r>
      <w:r w:rsidR="00CA6F96" w:rsidRPr="002C2CE2">
        <w:rPr>
          <w:rFonts w:eastAsia="SimSun"/>
          <w:iCs/>
          <w:lang w:eastAsia="zh-CN"/>
        </w:rPr>
        <w:t>INP-2</w:t>
      </w:r>
      <w:r w:rsidR="00664146" w:rsidRPr="002C2CE2">
        <w:rPr>
          <w:rFonts w:eastAsia="SimSun"/>
          <w:iCs/>
          <w:lang w:eastAsia="zh-CN"/>
        </w:rPr>
        <w:t>9</w:t>
      </w:r>
      <w:r w:rsidR="00950818" w:rsidRPr="002C2CE2">
        <w:rPr>
          <w:rFonts w:eastAsia="SimSun"/>
          <w:iCs/>
          <w:lang w:eastAsia="zh-CN"/>
        </w:rPr>
        <w:t>Rev.1</w:t>
      </w:r>
      <w:r w:rsidR="00CD7085" w:rsidRPr="002C2CE2">
        <w:rPr>
          <w:rFonts w:eastAsia="SimSun"/>
          <w:iCs/>
          <w:lang w:eastAsia="zh-CN"/>
        </w:rPr>
        <w:t xml:space="preserve"> </w:t>
      </w:r>
      <w:r w:rsidR="00CA6F96" w:rsidRPr="002C2CE2">
        <w:rPr>
          <w:rFonts w:eastAsia="SimSun" w:hint="eastAsia"/>
          <w:iCs/>
          <w:lang w:eastAsia="zh-CN"/>
        </w:rPr>
        <w:t>(</w:t>
      </w:r>
      <w:r w:rsidR="00CA6F96" w:rsidRPr="002C2CE2">
        <w:rPr>
          <w:rFonts w:eastAsia="SimSun"/>
          <w:iCs/>
          <w:lang w:eastAsia="zh-CN"/>
        </w:rPr>
        <w:t>IRN</w:t>
      </w:r>
      <w:r w:rsidR="00CA6F96" w:rsidRPr="002C2CE2">
        <w:rPr>
          <w:rFonts w:eastAsia="SimSun" w:hint="eastAsia"/>
          <w:iCs/>
          <w:lang w:eastAsia="zh-CN"/>
        </w:rPr>
        <w:t xml:space="preserve">), </w:t>
      </w:r>
      <w:r w:rsidR="000A2425" w:rsidRPr="002C2CE2">
        <w:rPr>
          <w:rFonts w:eastAsia="SimSun"/>
          <w:iCs/>
          <w:lang w:eastAsia="zh-CN"/>
        </w:rPr>
        <w:t>INP-</w:t>
      </w:r>
      <w:r w:rsidR="00CA6F96" w:rsidRPr="002C2CE2">
        <w:rPr>
          <w:rFonts w:eastAsia="SimSun"/>
          <w:iCs/>
          <w:lang w:eastAsia="zh-CN"/>
        </w:rPr>
        <w:t>35</w:t>
      </w:r>
      <w:r w:rsidR="00CD7085" w:rsidRPr="002C2CE2">
        <w:rPr>
          <w:rFonts w:eastAsia="SimSun"/>
          <w:iCs/>
          <w:lang w:eastAsia="zh-CN"/>
        </w:rPr>
        <w:t xml:space="preserve"> </w:t>
      </w:r>
      <w:r w:rsidR="000A2425" w:rsidRPr="002C2CE2">
        <w:rPr>
          <w:rFonts w:eastAsia="SimSun" w:hint="eastAsia"/>
          <w:iCs/>
          <w:lang w:eastAsia="zh-CN"/>
        </w:rPr>
        <w:t>(</w:t>
      </w:r>
      <w:r w:rsidR="000A2425" w:rsidRPr="002C2CE2">
        <w:rPr>
          <w:rFonts w:eastAsia="SimSun"/>
          <w:iCs/>
          <w:lang w:eastAsia="zh-CN"/>
        </w:rPr>
        <w:t>NZL</w:t>
      </w:r>
      <w:r w:rsidR="000A2425" w:rsidRPr="002C2CE2">
        <w:rPr>
          <w:rFonts w:eastAsia="SimSun" w:hint="eastAsia"/>
          <w:iCs/>
          <w:lang w:eastAsia="zh-CN"/>
        </w:rPr>
        <w:t xml:space="preserve">), </w:t>
      </w:r>
      <w:r w:rsidR="00CA6F96" w:rsidRPr="002C2CE2">
        <w:rPr>
          <w:rFonts w:eastAsia="SimSun"/>
          <w:iCs/>
          <w:lang w:eastAsia="zh-CN"/>
        </w:rPr>
        <w:t>INP-42</w:t>
      </w:r>
      <w:r w:rsidR="00CD7085" w:rsidRPr="002C2CE2">
        <w:rPr>
          <w:rFonts w:eastAsia="SimSun"/>
          <w:iCs/>
          <w:lang w:eastAsia="zh-CN"/>
        </w:rPr>
        <w:t xml:space="preserve"> </w:t>
      </w:r>
      <w:r w:rsidR="000A2425" w:rsidRPr="002C2CE2">
        <w:rPr>
          <w:rFonts w:eastAsia="SimSun" w:hint="eastAsia"/>
          <w:iCs/>
          <w:lang w:eastAsia="zh-CN"/>
        </w:rPr>
        <w:t>(</w:t>
      </w:r>
      <w:r w:rsidR="000A2425" w:rsidRPr="002C2CE2">
        <w:rPr>
          <w:rFonts w:eastAsia="SimSun"/>
          <w:iCs/>
          <w:lang w:eastAsia="zh-CN"/>
        </w:rPr>
        <w:t>AUS</w:t>
      </w:r>
      <w:r w:rsidR="000A2425" w:rsidRPr="002C2CE2">
        <w:rPr>
          <w:rFonts w:eastAsia="SimSun" w:hint="eastAsia"/>
          <w:iCs/>
          <w:lang w:eastAsia="zh-CN"/>
        </w:rPr>
        <w:t>)</w:t>
      </w:r>
      <w:r w:rsidR="00CA6F96" w:rsidRPr="002C2CE2">
        <w:rPr>
          <w:rFonts w:eastAsia="SimSun" w:hint="eastAsia"/>
          <w:iCs/>
          <w:lang w:eastAsia="zh-CN"/>
        </w:rPr>
        <w:t xml:space="preserve">, </w:t>
      </w:r>
      <w:r w:rsidR="00CA6F96" w:rsidRPr="002C2CE2">
        <w:rPr>
          <w:rFonts w:eastAsia="SimSun"/>
          <w:iCs/>
          <w:lang w:eastAsia="zh-CN"/>
        </w:rPr>
        <w:t>INP-50</w:t>
      </w:r>
      <w:r w:rsidR="00CD7085" w:rsidRPr="002C2CE2">
        <w:rPr>
          <w:rFonts w:eastAsia="SimSun"/>
          <w:iCs/>
          <w:lang w:eastAsia="zh-CN"/>
        </w:rPr>
        <w:t xml:space="preserve"> </w:t>
      </w:r>
      <w:r w:rsidR="00CA6F96" w:rsidRPr="002C2CE2">
        <w:rPr>
          <w:rFonts w:eastAsia="SimSun" w:hint="eastAsia"/>
          <w:iCs/>
          <w:lang w:eastAsia="zh-CN"/>
        </w:rPr>
        <w:t>(</w:t>
      </w:r>
      <w:r w:rsidR="00CA6F96" w:rsidRPr="002C2CE2">
        <w:rPr>
          <w:rFonts w:eastAsia="SimSun"/>
          <w:iCs/>
          <w:lang w:eastAsia="zh-CN"/>
        </w:rPr>
        <w:t>J</w:t>
      </w:r>
      <w:r w:rsidR="00CA6F96" w:rsidRPr="002C2CE2">
        <w:rPr>
          <w:rFonts w:eastAsia="SimSun" w:hint="eastAsia"/>
          <w:iCs/>
          <w:lang w:eastAsia="zh-CN"/>
        </w:rPr>
        <w:t>)</w:t>
      </w:r>
      <w:r w:rsidR="000A2425" w:rsidRPr="002C2CE2">
        <w:rPr>
          <w:rFonts w:eastAsia="SimSun" w:hint="eastAsia"/>
          <w:iCs/>
          <w:lang w:eastAsia="zh-CN"/>
        </w:rPr>
        <w:t xml:space="preserve">, </w:t>
      </w:r>
      <w:r w:rsidR="000A2425" w:rsidRPr="002C2CE2">
        <w:rPr>
          <w:rFonts w:eastAsia="SimSun"/>
          <w:iCs/>
          <w:lang w:eastAsia="zh-CN"/>
        </w:rPr>
        <w:t>INP-</w:t>
      </w:r>
      <w:r w:rsidRPr="002C2CE2">
        <w:rPr>
          <w:rFonts w:eastAsia="SimSun"/>
          <w:iCs/>
          <w:lang w:eastAsia="zh-CN"/>
        </w:rPr>
        <w:t>7</w:t>
      </w:r>
      <w:r w:rsidR="00CD7085" w:rsidRPr="002C2CE2">
        <w:rPr>
          <w:rFonts w:eastAsia="SimSun"/>
          <w:iCs/>
          <w:lang w:eastAsia="zh-CN"/>
        </w:rPr>
        <w:t xml:space="preserve"> </w:t>
      </w:r>
      <w:r w:rsidRPr="002C2CE2">
        <w:rPr>
          <w:rFonts w:eastAsia="SimSun"/>
          <w:iCs/>
          <w:lang w:eastAsia="zh-CN"/>
        </w:rPr>
        <w:t>9</w:t>
      </w:r>
      <w:r w:rsidR="000A2425" w:rsidRPr="002C2CE2">
        <w:rPr>
          <w:rFonts w:eastAsia="SimSun" w:hint="eastAsia"/>
          <w:iCs/>
          <w:lang w:eastAsia="zh-CN"/>
        </w:rPr>
        <w:t>(</w:t>
      </w:r>
      <w:r w:rsidR="000A2425" w:rsidRPr="002C2CE2">
        <w:rPr>
          <w:rFonts w:eastAsia="SimSun"/>
          <w:iCs/>
          <w:lang w:eastAsia="zh-CN"/>
        </w:rPr>
        <w:t>INS</w:t>
      </w:r>
      <w:r w:rsidR="000A2425" w:rsidRPr="002C2CE2">
        <w:rPr>
          <w:rFonts w:eastAsia="SimSun" w:hint="eastAsia"/>
          <w:iCs/>
          <w:lang w:eastAsia="zh-CN"/>
        </w:rPr>
        <w:t xml:space="preserve">), </w:t>
      </w:r>
      <w:r w:rsidRPr="002C2CE2">
        <w:rPr>
          <w:rFonts w:eastAsia="SimSun"/>
          <w:iCs/>
          <w:lang w:eastAsia="zh-CN"/>
        </w:rPr>
        <w:t>INP-87</w:t>
      </w:r>
      <w:r w:rsidR="00CD7085" w:rsidRPr="002C2CE2">
        <w:rPr>
          <w:rFonts w:eastAsia="SimSun"/>
          <w:iCs/>
          <w:lang w:eastAsia="zh-CN"/>
        </w:rPr>
        <w:t xml:space="preserve"> </w:t>
      </w:r>
      <w:r w:rsidR="000A2425" w:rsidRPr="002C2CE2">
        <w:rPr>
          <w:rFonts w:eastAsia="SimSun" w:hint="eastAsia"/>
          <w:iCs/>
          <w:lang w:eastAsia="zh-CN"/>
        </w:rPr>
        <w:t>(</w:t>
      </w:r>
      <w:r w:rsidR="000A2425" w:rsidRPr="002C2CE2">
        <w:rPr>
          <w:rFonts w:eastAsia="SimSun"/>
          <w:iCs/>
          <w:lang w:eastAsia="zh-CN"/>
        </w:rPr>
        <w:t>CHN</w:t>
      </w:r>
      <w:r w:rsidR="000A2425" w:rsidRPr="002C2CE2">
        <w:rPr>
          <w:rFonts w:eastAsia="SimSun" w:hint="eastAsia"/>
          <w:iCs/>
          <w:lang w:eastAsia="zh-CN"/>
        </w:rPr>
        <w:t>)</w:t>
      </w:r>
      <w:r w:rsidR="000A2425" w:rsidRPr="002C2CE2">
        <w:rPr>
          <w:rFonts w:eastAsia="SimSun"/>
          <w:iCs/>
          <w:lang w:eastAsia="zh-CN"/>
        </w:rPr>
        <w:t xml:space="preserve"> </w:t>
      </w:r>
    </w:p>
    <w:p w:rsidR="00B64A60" w:rsidRPr="005C0CEB" w:rsidRDefault="005C0CEB" w:rsidP="00EB70BE">
      <w:pPr>
        <w:numPr>
          <w:ilvl w:val="0"/>
          <w:numId w:val="27"/>
        </w:numPr>
        <w:spacing w:beforeLines="50" w:before="120" w:afterLines="50" w:after="120"/>
        <w:ind w:leftChars="295" w:left="1068"/>
        <w:jc w:val="both"/>
        <w:rPr>
          <w:rFonts w:eastAsia="SimSun"/>
          <w:iCs/>
          <w:lang w:eastAsia="zh-CN"/>
        </w:rPr>
      </w:pPr>
      <w:r w:rsidRPr="002C2CE2">
        <w:rPr>
          <w:lang w:val="en-NZ"/>
        </w:rPr>
        <w:t xml:space="preserve">Information Documents: </w:t>
      </w:r>
      <w:r w:rsidRPr="002C2CE2">
        <w:rPr>
          <w:rFonts w:eastAsia="SimSun"/>
          <w:iCs/>
          <w:lang w:eastAsia="zh-CN"/>
        </w:rPr>
        <w:t>APG19-3/INF-06</w:t>
      </w:r>
      <w:r w:rsidR="00950818" w:rsidRPr="002C2CE2">
        <w:rPr>
          <w:rFonts w:eastAsia="SimSun"/>
          <w:iCs/>
          <w:lang w:eastAsia="zh-CN"/>
        </w:rPr>
        <w:t>Rev.1</w:t>
      </w:r>
      <w:r w:rsidRPr="005C0CEB">
        <w:rPr>
          <w:rFonts w:eastAsia="SimSun" w:hint="eastAsia"/>
          <w:iCs/>
          <w:lang w:eastAsia="zh-CN"/>
        </w:rPr>
        <w:t xml:space="preserve"> (</w:t>
      </w:r>
      <w:r w:rsidRPr="005C0CEB">
        <w:rPr>
          <w:rFonts w:eastAsia="SimSun"/>
          <w:iCs/>
          <w:lang w:eastAsia="zh-CN"/>
        </w:rPr>
        <w:t>CEPT</w:t>
      </w:r>
      <w:r w:rsidRPr="005C0CEB">
        <w:rPr>
          <w:rFonts w:eastAsia="SimSun" w:hint="eastAsia"/>
          <w:iCs/>
          <w:lang w:eastAsia="zh-CN"/>
        </w:rPr>
        <w:t>)</w:t>
      </w:r>
      <w:r w:rsidR="000A2425" w:rsidRPr="005C0CEB">
        <w:rPr>
          <w:rFonts w:eastAsia="SimSun" w:hint="eastAsia"/>
          <w:iCs/>
          <w:lang w:eastAsia="zh-CN"/>
        </w:rPr>
        <w:t xml:space="preserve">, </w:t>
      </w:r>
      <w:r>
        <w:rPr>
          <w:rFonts w:eastAsia="SimSun"/>
          <w:iCs/>
          <w:lang w:eastAsia="zh-CN"/>
        </w:rPr>
        <w:t>INF-08</w:t>
      </w:r>
      <w:r w:rsidR="00CD7085">
        <w:rPr>
          <w:rFonts w:eastAsia="SimSun"/>
          <w:iCs/>
          <w:lang w:eastAsia="zh-CN"/>
        </w:rPr>
        <w:t xml:space="preserve"> </w:t>
      </w:r>
      <w:r w:rsidR="000A2425" w:rsidRPr="005C0CEB">
        <w:rPr>
          <w:rFonts w:eastAsia="SimSun" w:hint="eastAsia"/>
          <w:iCs/>
          <w:lang w:eastAsia="zh-CN"/>
        </w:rPr>
        <w:t>(</w:t>
      </w:r>
      <w:r w:rsidR="000A2425" w:rsidRPr="005C0CEB">
        <w:rPr>
          <w:rFonts w:eastAsia="SimSun"/>
          <w:iCs/>
          <w:lang w:eastAsia="zh-CN"/>
        </w:rPr>
        <w:t>CITEL</w:t>
      </w:r>
      <w:r w:rsidR="000A2425" w:rsidRPr="005C0CEB">
        <w:rPr>
          <w:rFonts w:eastAsia="SimSun" w:hint="eastAsia"/>
          <w:iCs/>
          <w:lang w:eastAsia="zh-CN"/>
        </w:rPr>
        <w:t>)</w:t>
      </w:r>
    </w:p>
    <w:p w:rsidR="00B64A60" w:rsidRDefault="00B64A60" w:rsidP="00B64A60">
      <w:pPr>
        <w:spacing w:after="120"/>
        <w:jc w:val="both"/>
        <w:rPr>
          <w:b/>
          <w:lang w:val="en-NZ" w:eastAsia="ko-KR"/>
        </w:rPr>
      </w:pPr>
      <w:r>
        <w:rPr>
          <w:b/>
          <w:lang w:val="en-NZ" w:eastAsia="ko-KR"/>
        </w:rPr>
        <w:lastRenderedPageBreak/>
        <w:t xml:space="preserve">3. </w:t>
      </w:r>
      <w:r>
        <w:rPr>
          <w:b/>
          <w:lang w:val="en-NZ" w:eastAsia="ko-KR"/>
        </w:rPr>
        <w:tab/>
        <w:t>Summary of Discussions</w:t>
      </w:r>
    </w:p>
    <w:p w:rsidR="004A2F96"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 xml:space="preserve">of </w:t>
      </w:r>
      <w:r w:rsidR="00820B86">
        <w:rPr>
          <w:b/>
          <w:lang w:val="en-NZ" w:eastAsia="ko-KR"/>
        </w:rPr>
        <w:t xml:space="preserve">APT </w:t>
      </w:r>
      <w:r>
        <w:rPr>
          <w:b/>
          <w:lang w:val="en-NZ" w:eastAsia="ko-KR"/>
        </w:rPr>
        <w:t>Members’ view</w:t>
      </w:r>
    </w:p>
    <w:p w:rsidR="00E456F4" w:rsidRPr="000F6941" w:rsidRDefault="00E456F4" w:rsidP="00E456F4">
      <w:pPr>
        <w:spacing w:beforeLines="50" w:before="120" w:afterLines="50" w:after="120"/>
        <w:jc w:val="both"/>
        <w:rPr>
          <w:rFonts w:eastAsiaTheme="minorEastAsia"/>
          <w:b/>
          <w:lang w:val="en-NZ" w:eastAsia="zh-CN"/>
        </w:rPr>
      </w:pPr>
      <w:r>
        <w:rPr>
          <w:rFonts w:eastAsiaTheme="minorEastAsia" w:hint="eastAsia"/>
          <w:b/>
          <w:lang w:val="en-NZ" w:eastAsia="zh-CN"/>
        </w:rPr>
        <w:t>3.1.</w:t>
      </w:r>
      <w:r w:rsidR="00611397">
        <w:rPr>
          <w:rFonts w:eastAsiaTheme="minorEastAsia"/>
          <w:b/>
          <w:lang w:val="en-NZ" w:eastAsia="zh-CN"/>
        </w:rPr>
        <w:t>1</w:t>
      </w:r>
      <w:r w:rsidRPr="000F6941">
        <w:rPr>
          <w:rFonts w:eastAsiaTheme="minorEastAsia" w:hint="eastAsia"/>
          <w:b/>
          <w:lang w:val="en-NZ" w:eastAsia="zh-CN"/>
        </w:rPr>
        <w:t xml:space="preserve"> </w:t>
      </w:r>
      <w:r>
        <w:rPr>
          <w:rFonts w:eastAsiaTheme="minorEastAsia" w:hint="eastAsia"/>
          <w:b/>
          <w:lang w:val="en-NZ" w:eastAsia="zh-CN"/>
        </w:rPr>
        <w:t>Korea</w:t>
      </w:r>
      <w:r w:rsidR="006F3CCB">
        <w:rPr>
          <w:b/>
          <w:lang w:val="en-NZ" w:eastAsia="ko-KR"/>
        </w:rPr>
        <w:t xml:space="preserve"> </w:t>
      </w:r>
      <w:r w:rsidR="006F3CCB">
        <w:t xml:space="preserve">- </w:t>
      </w:r>
      <w:r w:rsidR="006F3CCB">
        <w:rPr>
          <w:b/>
          <w:lang w:val="en-NZ" w:eastAsia="ko-KR"/>
        </w:rPr>
        <w:t>Document APG19-3/INP-22</w:t>
      </w:r>
    </w:p>
    <w:p w:rsidR="00E456F4" w:rsidRDefault="00BD26D3" w:rsidP="00E456F4">
      <w:pPr>
        <w:spacing w:beforeLines="50" w:before="120" w:afterLines="50" w:after="120"/>
        <w:ind w:leftChars="295" w:left="708"/>
        <w:jc w:val="both"/>
        <w:rPr>
          <w:rFonts w:eastAsia="SimSun"/>
          <w:iCs/>
          <w:lang w:eastAsia="zh-CN"/>
        </w:rPr>
      </w:pPr>
      <w:r w:rsidRPr="00BD26D3">
        <w:rPr>
          <w:rFonts w:eastAsia="SimSun"/>
          <w:iCs/>
          <w:lang w:eastAsia="zh-CN"/>
        </w:rPr>
        <w:t xml:space="preserve">The Administration of </w:t>
      </w:r>
      <w:r>
        <w:rPr>
          <w:rFonts w:eastAsia="SimSun"/>
          <w:iCs/>
          <w:lang w:eastAsia="zh-CN"/>
        </w:rPr>
        <w:t>Korea</w:t>
      </w:r>
      <w:r w:rsidRPr="00BD26D3">
        <w:rPr>
          <w:rFonts w:eastAsia="SimSun"/>
          <w:iCs/>
          <w:lang w:eastAsia="zh-CN"/>
        </w:rPr>
        <w:t xml:space="preserve"> </w:t>
      </w:r>
      <w:r w:rsidR="00611397">
        <w:rPr>
          <w:lang w:eastAsia="ko-KR"/>
        </w:rPr>
        <w:t xml:space="preserve">supports </w:t>
      </w:r>
      <w:r w:rsidRPr="00BD26D3">
        <w:rPr>
          <w:rFonts w:eastAsia="SimSun"/>
          <w:iCs/>
          <w:lang w:eastAsia="zh-CN"/>
        </w:rPr>
        <w:t>APT Preliminary View adopted as at the last APG19-2 meeting</w:t>
      </w:r>
      <w:r w:rsidR="002A54DB">
        <w:rPr>
          <w:rFonts w:eastAsia="SimSun"/>
          <w:iCs/>
          <w:lang w:eastAsia="zh-CN"/>
        </w:rPr>
        <w:t>, as stated below</w:t>
      </w:r>
      <w:r w:rsidRPr="00BD26D3">
        <w:rPr>
          <w:rFonts w:eastAsia="SimSun"/>
          <w:iCs/>
          <w:lang w:eastAsia="zh-CN"/>
        </w:rPr>
        <w:t>:</w:t>
      </w:r>
    </w:p>
    <w:p w:rsidR="00BD26D3" w:rsidRPr="00BD26D3" w:rsidRDefault="00BD26D3" w:rsidP="00611397">
      <w:pPr>
        <w:ind w:left="773"/>
        <w:rPr>
          <w:lang w:val="en-NZ" w:eastAsia="ko-KR"/>
        </w:rPr>
      </w:pPr>
      <w:r>
        <w:rPr>
          <w:rFonts w:eastAsia="SimSun"/>
          <w:iCs/>
          <w:lang w:eastAsia="zh-CN"/>
        </w:rPr>
        <w:t>“</w:t>
      </w:r>
      <w:r w:rsidR="00611397">
        <w:rPr>
          <w:lang w:val="en-NZ"/>
        </w:rPr>
        <w:t xml:space="preserve">APT Members support ITU-R studies to </w:t>
      </w:r>
      <w:r w:rsidR="00611397">
        <w:rPr>
          <w:rFonts w:eastAsia="Times New Roman"/>
        </w:rPr>
        <w:t xml:space="preserve">investigate the </w:t>
      </w:r>
      <w:r w:rsidR="00611397">
        <w:rPr>
          <w:rFonts w:eastAsiaTheme="minorEastAsia"/>
          <w:iCs/>
          <w:lang w:eastAsia="zh-CN"/>
        </w:rPr>
        <w:t xml:space="preserve">technical and regulatory impacts on the services referred to in Nos. </w:t>
      </w:r>
      <w:r w:rsidR="00611397" w:rsidRPr="00664146">
        <w:rPr>
          <w:rFonts w:eastAsiaTheme="minorEastAsia"/>
          <w:b/>
          <w:iCs/>
          <w:lang w:eastAsia="zh-CN"/>
        </w:rPr>
        <w:t>5.447F</w:t>
      </w:r>
      <w:r w:rsidR="00611397">
        <w:rPr>
          <w:rFonts w:eastAsiaTheme="minorEastAsia"/>
          <w:iCs/>
          <w:lang w:eastAsia="zh-CN"/>
        </w:rPr>
        <w:t xml:space="preserve"> and </w:t>
      </w:r>
      <w:r w:rsidR="00611397" w:rsidRPr="00664146">
        <w:rPr>
          <w:rFonts w:eastAsiaTheme="minorEastAsia"/>
          <w:b/>
          <w:iCs/>
          <w:lang w:eastAsia="zh-CN"/>
        </w:rPr>
        <w:t>5.450A</w:t>
      </w:r>
      <w:r w:rsidR="00611397">
        <w:rPr>
          <w:rFonts w:eastAsiaTheme="minorEastAsia"/>
          <w:iCs/>
          <w:lang w:eastAsia="zh-CN"/>
        </w:rPr>
        <w:t xml:space="preserve"> that would result from referencing Recommendation ITU-R M.1638-1 in place of Recommendation ITU-R M.1638-0 in those footnotes and to also add a new reference to Recommendation ITU-R M.1849-1 to these footnotes. In so doing, APT Members also support to ensure the protection of the services to which the band is allocated including those which are referenced in these footnotes without any constraints to these services.</w:t>
      </w:r>
      <w:r w:rsidRPr="00BD26D3">
        <w:rPr>
          <w:lang w:val="en-NZ" w:eastAsia="ko-KR"/>
        </w:rPr>
        <w:t>”</w:t>
      </w:r>
    </w:p>
    <w:p w:rsidR="006F3CCB" w:rsidRPr="00C50B11" w:rsidRDefault="00490148" w:rsidP="006F3CCB">
      <w:pPr>
        <w:spacing w:beforeLines="50" w:before="120" w:afterLines="50" w:after="120"/>
        <w:jc w:val="both"/>
        <w:rPr>
          <w:rFonts w:eastAsiaTheme="minorEastAsia"/>
          <w:b/>
          <w:lang w:val="en-NZ" w:eastAsia="zh-CN"/>
        </w:rPr>
      </w:pPr>
      <w:r>
        <w:rPr>
          <w:rFonts w:eastAsiaTheme="minorEastAsia" w:hint="eastAsia"/>
          <w:b/>
          <w:lang w:val="en-NZ" w:eastAsia="zh-CN"/>
        </w:rPr>
        <w:t>3.1.</w:t>
      </w:r>
      <w:r w:rsidR="00611397">
        <w:rPr>
          <w:rFonts w:eastAsiaTheme="minorEastAsia"/>
          <w:b/>
          <w:lang w:val="en-NZ" w:eastAsia="zh-CN"/>
        </w:rPr>
        <w:t>2</w:t>
      </w:r>
      <w:r w:rsidR="006F3CCB" w:rsidRPr="00C50B11">
        <w:rPr>
          <w:rFonts w:eastAsiaTheme="minorEastAsia" w:hint="eastAsia"/>
          <w:b/>
          <w:lang w:val="en-NZ" w:eastAsia="zh-CN"/>
        </w:rPr>
        <w:t xml:space="preserve"> </w:t>
      </w:r>
      <w:r w:rsidR="006F3CCB">
        <w:rPr>
          <w:rFonts w:eastAsiaTheme="minorEastAsia"/>
          <w:b/>
          <w:lang w:val="en-NZ" w:eastAsia="zh-CN"/>
        </w:rPr>
        <w:t>Iran</w:t>
      </w:r>
      <w:r w:rsidR="006F3CCB">
        <w:rPr>
          <w:b/>
          <w:lang w:val="en-NZ" w:eastAsia="ko-KR"/>
        </w:rPr>
        <w:t xml:space="preserve"> </w:t>
      </w:r>
      <w:r w:rsidR="006F3CCB">
        <w:t xml:space="preserve">- </w:t>
      </w:r>
      <w:r w:rsidR="006F3CCB">
        <w:rPr>
          <w:b/>
          <w:lang w:val="en-NZ" w:eastAsia="ko-KR"/>
        </w:rPr>
        <w:t>Document APG19-3/INP-</w:t>
      </w:r>
      <w:r w:rsidR="006F3CCB" w:rsidRPr="002C2CE2">
        <w:rPr>
          <w:b/>
          <w:lang w:val="en-NZ" w:eastAsia="ko-KR"/>
        </w:rPr>
        <w:t>29</w:t>
      </w:r>
      <w:r w:rsidR="00950818" w:rsidRPr="002C2CE2">
        <w:rPr>
          <w:b/>
          <w:lang w:val="en-NZ" w:eastAsia="ko-KR"/>
        </w:rPr>
        <w:t>Rev.1</w:t>
      </w:r>
    </w:p>
    <w:p w:rsidR="006F3CCB" w:rsidRPr="00611397" w:rsidRDefault="00611397" w:rsidP="00BD26D3">
      <w:pPr>
        <w:spacing w:beforeLines="50" w:before="120" w:afterLines="50" w:after="120"/>
        <w:ind w:leftChars="295" w:left="708"/>
        <w:jc w:val="both"/>
        <w:rPr>
          <w:rFonts w:eastAsiaTheme="minorEastAsia"/>
          <w:iCs/>
          <w:lang w:eastAsia="zh-CN"/>
        </w:rPr>
      </w:pPr>
      <w:r w:rsidRPr="00611397">
        <w:rPr>
          <w:rFonts w:eastAsiaTheme="minorEastAsia"/>
          <w:iCs/>
          <w:lang w:eastAsia="zh-CN"/>
        </w:rPr>
        <w:t xml:space="preserve">This administration supports ITU-R studies to investigate the technical and regulatory impacts on the services referred to in Nos. </w:t>
      </w:r>
      <w:r w:rsidRPr="00664146">
        <w:rPr>
          <w:rFonts w:eastAsiaTheme="minorEastAsia"/>
          <w:b/>
          <w:iCs/>
          <w:lang w:eastAsia="zh-CN"/>
        </w:rPr>
        <w:t>5.447F</w:t>
      </w:r>
      <w:r w:rsidRPr="00611397">
        <w:rPr>
          <w:rFonts w:eastAsiaTheme="minorEastAsia"/>
          <w:iCs/>
          <w:lang w:eastAsia="zh-CN"/>
        </w:rPr>
        <w:t xml:space="preserve"> and </w:t>
      </w:r>
      <w:r w:rsidRPr="00664146">
        <w:rPr>
          <w:rFonts w:eastAsiaTheme="minorEastAsia"/>
          <w:b/>
          <w:iCs/>
          <w:lang w:eastAsia="zh-CN"/>
        </w:rPr>
        <w:t>5.450A</w:t>
      </w:r>
      <w:r w:rsidRPr="00611397">
        <w:rPr>
          <w:rFonts w:eastAsiaTheme="minorEastAsia"/>
          <w:iCs/>
          <w:lang w:eastAsia="zh-CN"/>
        </w:rPr>
        <w:t xml:space="preserve"> that would result from referencing Recommendation ITU-R M.1638-1 in place of Recommendation ITU-R M.1638-0 in those footnotes and to also add a new reference to Recommendation ITU-R M.1849-1 to these footnotes. In so doing, this administration also supports ensuring the protection of the services to which the band is allocated including those which are referenced in these footnotes without any constraints to these services.</w:t>
      </w:r>
    </w:p>
    <w:p w:rsidR="00E456F4" w:rsidRPr="00A100CB" w:rsidRDefault="00490148" w:rsidP="00E456F4">
      <w:pPr>
        <w:spacing w:beforeLines="50" w:before="120" w:afterLines="50" w:after="120"/>
        <w:jc w:val="both"/>
        <w:rPr>
          <w:rFonts w:eastAsiaTheme="minorEastAsia"/>
          <w:b/>
          <w:lang w:val="en-NZ" w:eastAsia="zh-CN"/>
        </w:rPr>
      </w:pPr>
      <w:r>
        <w:rPr>
          <w:rFonts w:eastAsiaTheme="minorEastAsia" w:hint="eastAsia"/>
          <w:b/>
          <w:lang w:val="en-NZ" w:eastAsia="zh-CN"/>
        </w:rPr>
        <w:t>3.1.</w:t>
      </w:r>
      <w:r w:rsidR="00611397">
        <w:rPr>
          <w:rFonts w:eastAsiaTheme="minorEastAsia"/>
          <w:b/>
          <w:lang w:val="en-NZ" w:eastAsia="zh-CN"/>
        </w:rPr>
        <w:t>3</w:t>
      </w:r>
      <w:r w:rsidR="00E456F4" w:rsidRPr="00A100CB">
        <w:rPr>
          <w:rFonts w:eastAsiaTheme="minorEastAsia" w:hint="eastAsia"/>
          <w:b/>
          <w:lang w:val="en-NZ" w:eastAsia="zh-CN"/>
        </w:rPr>
        <w:t xml:space="preserve"> </w:t>
      </w:r>
      <w:r w:rsidR="00E456F4" w:rsidRPr="00E456F4">
        <w:rPr>
          <w:rFonts w:eastAsiaTheme="minorEastAsia"/>
          <w:b/>
          <w:lang w:val="en-NZ" w:eastAsia="zh-CN"/>
        </w:rPr>
        <w:t>New Zealand</w:t>
      </w:r>
      <w:r w:rsidR="006F3CCB">
        <w:rPr>
          <w:b/>
          <w:lang w:val="en-NZ" w:eastAsia="ko-KR"/>
        </w:rPr>
        <w:t xml:space="preserve"> </w:t>
      </w:r>
      <w:r w:rsidR="006F3CCB">
        <w:t xml:space="preserve">- </w:t>
      </w:r>
      <w:r w:rsidR="006F3CCB">
        <w:rPr>
          <w:b/>
          <w:lang w:val="en-NZ" w:eastAsia="ko-KR"/>
        </w:rPr>
        <w:t>Document APG19-3/INP-35</w:t>
      </w:r>
    </w:p>
    <w:p w:rsidR="00E456F4" w:rsidRDefault="00611397" w:rsidP="00BD26D3">
      <w:pPr>
        <w:spacing w:beforeLines="50" w:before="120" w:afterLines="50" w:after="120"/>
        <w:ind w:leftChars="295" w:left="708"/>
        <w:jc w:val="both"/>
        <w:rPr>
          <w:rFonts w:eastAsiaTheme="minorEastAsia"/>
          <w:iCs/>
          <w:lang w:eastAsia="zh-CN"/>
        </w:rPr>
      </w:pPr>
      <w:r w:rsidRPr="00611397">
        <w:rPr>
          <w:rFonts w:eastAsiaTheme="minorEastAsia"/>
          <w:iCs/>
          <w:lang w:eastAsia="zh-CN"/>
        </w:rPr>
        <w:t xml:space="preserve">New Zealand supports appropriate studies particularly to </w:t>
      </w:r>
      <w:proofErr w:type="spellStart"/>
      <w:r w:rsidRPr="00611397">
        <w:rPr>
          <w:rFonts w:eastAsiaTheme="minorEastAsia"/>
          <w:iCs/>
          <w:lang w:eastAsia="zh-CN"/>
        </w:rPr>
        <w:t>analyse</w:t>
      </w:r>
      <w:proofErr w:type="spellEnd"/>
      <w:r w:rsidRPr="00611397">
        <w:rPr>
          <w:rFonts w:eastAsiaTheme="minorEastAsia"/>
          <w:iCs/>
          <w:lang w:eastAsia="zh-CN"/>
        </w:rPr>
        <w:t xml:space="preserve"> any potential impact on the widespread deployment of RLANs in the 5 250-5 350 MHz and 5 470-5 725 MHz, noting that this issue could be considered in conjunction with WRC-19 Agenda item 1.16.</w:t>
      </w:r>
    </w:p>
    <w:p w:rsidR="00E456F4" w:rsidRPr="00745EE4" w:rsidRDefault="00490148" w:rsidP="00E456F4">
      <w:pPr>
        <w:spacing w:beforeLines="50" w:before="120" w:afterLines="50" w:after="120"/>
        <w:jc w:val="both"/>
        <w:rPr>
          <w:rFonts w:eastAsiaTheme="minorEastAsia"/>
          <w:b/>
          <w:lang w:val="en-NZ" w:eastAsia="zh-CN"/>
        </w:rPr>
      </w:pPr>
      <w:r>
        <w:rPr>
          <w:rFonts w:eastAsiaTheme="minorEastAsia" w:hint="eastAsia"/>
          <w:b/>
          <w:lang w:val="en-NZ" w:eastAsia="zh-CN"/>
        </w:rPr>
        <w:t>3.1.</w:t>
      </w:r>
      <w:r w:rsidR="00611397">
        <w:rPr>
          <w:rFonts w:eastAsiaTheme="minorEastAsia"/>
          <w:b/>
          <w:lang w:val="en-NZ" w:eastAsia="zh-CN"/>
        </w:rPr>
        <w:t>4</w:t>
      </w:r>
      <w:r w:rsidR="00E456F4" w:rsidRPr="00745EE4">
        <w:rPr>
          <w:rFonts w:eastAsiaTheme="minorEastAsia" w:hint="eastAsia"/>
          <w:b/>
          <w:lang w:val="en-NZ" w:eastAsia="zh-CN"/>
        </w:rPr>
        <w:t xml:space="preserve"> </w:t>
      </w:r>
      <w:r w:rsidR="006F3CCB" w:rsidRPr="000F6941">
        <w:rPr>
          <w:rFonts w:eastAsiaTheme="minorEastAsia"/>
          <w:b/>
          <w:lang w:val="en-NZ" w:eastAsia="zh-CN"/>
        </w:rPr>
        <w:t>Australia</w:t>
      </w:r>
      <w:r w:rsidR="006F3CCB" w:rsidRPr="00745EE4">
        <w:rPr>
          <w:rFonts w:eastAsiaTheme="minorEastAsia"/>
          <w:b/>
          <w:lang w:val="en-NZ" w:eastAsia="zh-CN"/>
        </w:rPr>
        <w:t xml:space="preserve"> </w:t>
      </w:r>
      <w:r w:rsidR="006F3CCB">
        <w:rPr>
          <w:b/>
          <w:lang w:val="en-NZ" w:eastAsia="ko-KR"/>
        </w:rPr>
        <w:t>-</w:t>
      </w:r>
      <w:r w:rsidR="006F3CCB">
        <w:t xml:space="preserve"> </w:t>
      </w:r>
      <w:r w:rsidR="006F3CCB">
        <w:rPr>
          <w:b/>
          <w:lang w:val="en-NZ" w:eastAsia="ko-KR"/>
        </w:rPr>
        <w:t>Document APG19-3/INP-42</w:t>
      </w:r>
    </w:p>
    <w:p w:rsidR="00611397" w:rsidRPr="00611397" w:rsidRDefault="00611397" w:rsidP="00611397">
      <w:pPr>
        <w:spacing w:beforeLines="50" w:before="120" w:afterLines="50" w:after="120"/>
        <w:ind w:leftChars="295" w:left="708"/>
        <w:jc w:val="both"/>
        <w:rPr>
          <w:rFonts w:eastAsiaTheme="minorEastAsia"/>
          <w:iCs/>
          <w:lang w:eastAsia="zh-CN"/>
        </w:rPr>
      </w:pPr>
      <w:r w:rsidRPr="00611397">
        <w:rPr>
          <w:rFonts w:eastAsiaTheme="minorEastAsia"/>
          <w:iCs/>
          <w:lang w:eastAsia="zh-CN"/>
        </w:rPr>
        <w:t xml:space="preserve">WRC-19 agenda item 9.1 Issue 9.1.5 is considering the technical and regulatory impacts on the services referred to in RR Nos. </w:t>
      </w:r>
      <w:r w:rsidRPr="00664146">
        <w:rPr>
          <w:rFonts w:eastAsiaTheme="minorEastAsia"/>
          <w:b/>
          <w:iCs/>
          <w:lang w:eastAsia="zh-CN"/>
        </w:rPr>
        <w:t>5.447F</w:t>
      </w:r>
      <w:r w:rsidRPr="00611397">
        <w:rPr>
          <w:rFonts w:eastAsiaTheme="minorEastAsia"/>
          <w:iCs/>
          <w:lang w:eastAsia="zh-CN"/>
        </w:rPr>
        <w:t xml:space="preserve"> and </w:t>
      </w:r>
      <w:r w:rsidRPr="00664146">
        <w:rPr>
          <w:rFonts w:eastAsiaTheme="minorEastAsia"/>
          <w:b/>
          <w:iCs/>
          <w:lang w:eastAsia="zh-CN"/>
        </w:rPr>
        <w:t>5.450A</w:t>
      </w:r>
      <w:r w:rsidRPr="00611397">
        <w:rPr>
          <w:rFonts w:eastAsiaTheme="minorEastAsia"/>
          <w:iCs/>
          <w:lang w:eastAsia="zh-CN"/>
        </w:rPr>
        <w:t xml:space="preserve"> that would result from referencing Recommendation ITU-R M.1638-1 in place of version M.1638-0 in those footnotes and to the possibility of adding a new reference to Recommendation ITU-R M.1849-1 to the footnotes. Any outcome from this Issue needs to ensure the protection of the services to which the band is allocated including those which are referenced in the footnotes without any additional constraints to the services. </w:t>
      </w:r>
    </w:p>
    <w:p w:rsidR="00E456F4" w:rsidRPr="00FA217B" w:rsidRDefault="00611397" w:rsidP="00611397">
      <w:pPr>
        <w:spacing w:beforeLines="50" w:before="120" w:afterLines="50" w:after="120"/>
        <w:ind w:leftChars="295" w:left="708"/>
        <w:jc w:val="both"/>
        <w:rPr>
          <w:rFonts w:eastAsiaTheme="minorEastAsia"/>
          <w:iCs/>
          <w:lang w:eastAsia="zh-CN"/>
        </w:rPr>
      </w:pPr>
      <w:r w:rsidRPr="00611397">
        <w:rPr>
          <w:rFonts w:eastAsiaTheme="minorEastAsia"/>
          <w:iCs/>
          <w:lang w:eastAsia="zh-CN"/>
        </w:rPr>
        <w:t>As studies are still ongoing in ITU-R Working Party 5A Australia will take into consideration any further outcomes with a view to support a possible conclusion to address this Issue.</w:t>
      </w:r>
    </w:p>
    <w:p w:rsidR="006F3CCB" w:rsidRDefault="00490148" w:rsidP="006F3CCB">
      <w:pPr>
        <w:spacing w:beforeLines="50" w:before="120" w:afterLines="50" w:after="120"/>
        <w:jc w:val="both"/>
        <w:rPr>
          <w:rFonts w:eastAsiaTheme="minorEastAsia"/>
          <w:b/>
          <w:lang w:val="en-NZ" w:eastAsia="zh-CN"/>
        </w:rPr>
      </w:pPr>
      <w:r>
        <w:rPr>
          <w:rFonts w:eastAsiaTheme="minorEastAsia"/>
          <w:b/>
          <w:lang w:val="en-NZ" w:eastAsia="zh-CN"/>
        </w:rPr>
        <w:t>3.1.</w:t>
      </w:r>
      <w:r w:rsidR="00611397">
        <w:rPr>
          <w:rFonts w:eastAsiaTheme="minorEastAsia"/>
          <w:b/>
          <w:lang w:val="en-NZ" w:eastAsia="zh-CN"/>
        </w:rPr>
        <w:t>5</w:t>
      </w:r>
      <w:r w:rsidR="006F3CCB" w:rsidRPr="00D415A8">
        <w:rPr>
          <w:rFonts w:eastAsiaTheme="minorEastAsia"/>
          <w:b/>
          <w:lang w:val="en-NZ" w:eastAsia="zh-CN"/>
        </w:rPr>
        <w:t xml:space="preserve"> </w:t>
      </w:r>
      <w:r w:rsidR="006F3CCB" w:rsidRPr="00C50B11">
        <w:rPr>
          <w:rFonts w:eastAsiaTheme="minorEastAsia" w:hint="eastAsia"/>
          <w:b/>
          <w:lang w:val="en-NZ" w:eastAsia="zh-CN"/>
        </w:rPr>
        <w:t>Japan</w:t>
      </w:r>
      <w:r w:rsidR="006F3CCB" w:rsidRPr="00745EE4">
        <w:rPr>
          <w:rFonts w:eastAsiaTheme="minorEastAsia"/>
          <w:b/>
          <w:lang w:val="en-NZ" w:eastAsia="zh-CN"/>
        </w:rPr>
        <w:t xml:space="preserve"> </w:t>
      </w:r>
      <w:r w:rsidR="006F3CCB">
        <w:rPr>
          <w:b/>
          <w:lang w:val="en-NZ" w:eastAsia="ko-KR"/>
        </w:rPr>
        <w:t>-</w:t>
      </w:r>
      <w:r w:rsidR="006F3CCB">
        <w:t xml:space="preserve"> </w:t>
      </w:r>
      <w:r w:rsidR="006F3CCB">
        <w:rPr>
          <w:b/>
          <w:lang w:val="en-NZ" w:eastAsia="ko-KR"/>
        </w:rPr>
        <w:t>Document APG19-3/INP-50</w:t>
      </w:r>
    </w:p>
    <w:p w:rsidR="006F3CCB" w:rsidRPr="00FA217B" w:rsidRDefault="00611397" w:rsidP="00BD26D3">
      <w:pPr>
        <w:spacing w:beforeLines="50" w:before="120" w:afterLines="50" w:after="120"/>
        <w:ind w:leftChars="295" w:left="708"/>
        <w:jc w:val="both"/>
        <w:rPr>
          <w:rFonts w:eastAsiaTheme="minorEastAsia"/>
          <w:iCs/>
          <w:lang w:eastAsia="zh-CN"/>
        </w:rPr>
      </w:pPr>
      <w:r w:rsidRPr="00611397">
        <w:rPr>
          <w:rFonts w:eastAsiaTheme="minorEastAsia"/>
          <w:iCs/>
          <w:lang w:eastAsia="zh-CN"/>
        </w:rPr>
        <w:t xml:space="preserve">Japan supports the studies for updating the reference in the footnotes </w:t>
      </w:r>
      <w:r w:rsidRPr="00664146">
        <w:rPr>
          <w:rFonts w:eastAsiaTheme="minorEastAsia"/>
          <w:b/>
          <w:iCs/>
          <w:lang w:eastAsia="zh-CN"/>
        </w:rPr>
        <w:t>5.447F</w:t>
      </w:r>
      <w:r w:rsidRPr="00611397">
        <w:rPr>
          <w:rFonts w:eastAsiaTheme="minorEastAsia"/>
          <w:iCs/>
          <w:lang w:eastAsia="zh-CN"/>
        </w:rPr>
        <w:t xml:space="preserve"> and </w:t>
      </w:r>
      <w:r w:rsidRPr="00664146">
        <w:rPr>
          <w:rFonts w:eastAsiaTheme="minorEastAsia"/>
          <w:b/>
          <w:iCs/>
          <w:lang w:eastAsia="zh-CN"/>
        </w:rPr>
        <w:t>5.450A</w:t>
      </w:r>
      <w:r w:rsidRPr="00611397">
        <w:rPr>
          <w:rFonts w:eastAsiaTheme="minorEastAsia"/>
          <w:iCs/>
          <w:lang w:eastAsia="zh-CN"/>
        </w:rPr>
        <w:t xml:space="preserve"> to latest recommendations, while ensuring that undue constraints are not imposed on services referenced in these footnotes.</w:t>
      </w:r>
    </w:p>
    <w:p w:rsidR="00E456F4" w:rsidRDefault="00E456F4" w:rsidP="00E456F4">
      <w:pPr>
        <w:spacing w:beforeLines="50" w:before="120" w:afterLines="50" w:after="120"/>
        <w:jc w:val="both"/>
        <w:rPr>
          <w:rFonts w:eastAsiaTheme="minorEastAsia"/>
          <w:b/>
          <w:lang w:val="en-NZ" w:eastAsia="zh-CN"/>
        </w:rPr>
      </w:pPr>
      <w:r>
        <w:rPr>
          <w:rFonts w:eastAsiaTheme="minorEastAsia"/>
          <w:b/>
          <w:lang w:val="en-NZ" w:eastAsia="zh-CN"/>
        </w:rPr>
        <w:t>3.1.</w:t>
      </w:r>
      <w:r w:rsidR="00611397">
        <w:rPr>
          <w:rFonts w:eastAsiaTheme="minorEastAsia"/>
          <w:b/>
          <w:lang w:val="en-NZ" w:eastAsia="zh-CN"/>
        </w:rPr>
        <w:t>6</w:t>
      </w:r>
      <w:r w:rsidRPr="00D415A8">
        <w:rPr>
          <w:rFonts w:eastAsiaTheme="minorEastAsia"/>
          <w:b/>
          <w:lang w:val="en-NZ" w:eastAsia="zh-CN"/>
        </w:rPr>
        <w:t xml:space="preserve"> </w:t>
      </w:r>
      <w:r w:rsidRPr="00745EE4">
        <w:rPr>
          <w:rFonts w:eastAsiaTheme="minorEastAsia"/>
          <w:b/>
          <w:lang w:val="en-NZ" w:eastAsia="zh-CN"/>
        </w:rPr>
        <w:t>Indonesia</w:t>
      </w:r>
      <w:r w:rsidR="006F3CCB" w:rsidRPr="00745EE4">
        <w:rPr>
          <w:rFonts w:eastAsiaTheme="minorEastAsia"/>
          <w:b/>
          <w:lang w:val="en-NZ" w:eastAsia="zh-CN"/>
        </w:rPr>
        <w:t xml:space="preserve"> </w:t>
      </w:r>
      <w:r w:rsidR="006F3CCB">
        <w:rPr>
          <w:b/>
          <w:lang w:val="en-NZ" w:eastAsia="ko-KR"/>
        </w:rPr>
        <w:t>-</w:t>
      </w:r>
      <w:r w:rsidR="006F3CCB">
        <w:t xml:space="preserve"> </w:t>
      </w:r>
      <w:r w:rsidR="006F3CCB">
        <w:rPr>
          <w:b/>
          <w:lang w:val="en-NZ" w:eastAsia="ko-KR"/>
        </w:rPr>
        <w:t>Document APG19-3/INP-79</w:t>
      </w:r>
    </w:p>
    <w:p w:rsidR="00E456F4" w:rsidRPr="00FA217B" w:rsidRDefault="00611397" w:rsidP="00E456F4">
      <w:pPr>
        <w:spacing w:beforeLines="50" w:before="120" w:afterLines="50" w:after="120"/>
        <w:ind w:leftChars="295" w:left="708"/>
        <w:jc w:val="both"/>
        <w:rPr>
          <w:rFonts w:eastAsiaTheme="minorEastAsia"/>
          <w:iCs/>
          <w:lang w:eastAsia="zh-CN"/>
        </w:rPr>
      </w:pPr>
      <w:r w:rsidRPr="00611397">
        <w:rPr>
          <w:rFonts w:eastAsiaTheme="minorEastAsia"/>
          <w:iCs/>
          <w:lang w:eastAsia="zh-CN"/>
        </w:rPr>
        <w:t xml:space="preserve">Republic of Indonesia is of the view to follow the discussion on technical and regulatory impacts on the services referred to in Nos. </w:t>
      </w:r>
      <w:r w:rsidRPr="00664146">
        <w:rPr>
          <w:rFonts w:eastAsiaTheme="minorEastAsia"/>
          <w:b/>
          <w:iCs/>
          <w:lang w:eastAsia="zh-CN"/>
        </w:rPr>
        <w:t>5.447F</w:t>
      </w:r>
      <w:r w:rsidRPr="00611397">
        <w:rPr>
          <w:rFonts w:eastAsiaTheme="minorEastAsia"/>
          <w:iCs/>
          <w:lang w:eastAsia="zh-CN"/>
        </w:rPr>
        <w:t xml:space="preserve"> and </w:t>
      </w:r>
      <w:r w:rsidRPr="00664146">
        <w:rPr>
          <w:rFonts w:eastAsiaTheme="minorEastAsia"/>
          <w:b/>
          <w:iCs/>
          <w:lang w:eastAsia="zh-CN"/>
        </w:rPr>
        <w:t>5.450A</w:t>
      </w:r>
      <w:r w:rsidRPr="00611397">
        <w:rPr>
          <w:rFonts w:eastAsiaTheme="minorEastAsia"/>
          <w:iCs/>
          <w:lang w:eastAsia="zh-CN"/>
        </w:rPr>
        <w:t xml:space="preserve"> until the relevant study is finished, while ensuring that no undue constraints are imposed on the services referenced in these footnotes and ensure protection of the existing services without adding new restrictions on them.</w:t>
      </w:r>
    </w:p>
    <w:p w:rsidR="00E456F4" w:rsidRDefault="00490148" w:rsidP="00E456F4">
      <w:pPr>
        <w:spacing w:beforeLines="50" w:before="120" w:afterLines="50" w:after="120"/>
        <w:jc w:val="both"/>
        <w:rPr>
          <w:rFonts w:eastAsiaTheme="minorEastAsia"/>
          <w:b/>
          <w:lang w:val="en-NZ" w:eastAsia="zh-CN"/>
        </w:rPr>
      </w:pPr>
      <w:r>
        <w:rPr>
          <w:rFonts w:eastAsiaTheme="minorEastAsia"/>
          <w:b/>
          <w:lang w:val="en-NZ" w:eastAsia="zh-CN"/>
        </w:rPr>
        <w:lastRenderedPageBreak/>
        <w:t>3.1.</w:t>
      </w:r>
      <w:r w:rsidR="00611397">
        <w:rPr>
          <w:rFonts w:eastAsiaTheme="minorEastAsia"/>
          <w:b/>
          <w:lang w:val="en-NZ" w:eastAsia="zh-CN"/>
        </w:rPr>
        <w:t>7</w:t>
      </w:r>
      <w:r w:rsidR="00E456F4" w:rsidRPr="00D415A8">
        <w:rPr>
          <w:rFonts w:eastAsiaTheme="minorEastAsia"/>
          <w:b/>
          <w:lang w:val="en-NZ" w:eastAsia="zh-CN"/>
        </w:rPr>
        <w:t xml:space="preserve"> </w:t>
      </w:r>
      <w:r w:rsidR="00E456F4">
        <w:rPr>
          <w:rFonts w:eastAsiaTheme="minorEastAsia"/>
          <w:b/>
          <w:lang w:val="en-NZ" w:eastAsia="zh-CN"/>
        </w:rPr>
        <w:t>China</w:t>
      </w:r>
      <w:r w:rsidR="006F3CCB" w:rsidRPr="00745EE4">
        <w:rPr>
          <w:rFonts w:eastAsiaTheme="minorEastAsia"/>
          <w:b/>
          <w:lang w:val="en-NZ" w:eastAsia="zh-CN"/>
        </w:rPr>
        <w:t xml:space="preserve"> </w:t>
      </w:r>
      <w:r w:rsidR="006F3CCB">
        <w:rPr>
          <w:b/>
          <w:lang w:val="en-NZ" w:eastAsia="ko-KR"/>
        </w:rPr>
        <w:t>-</w:t>
      </w:r>
      <w:r w:rsidR="006F3CCB">
        <w:t xml:space="preserve"> </w:t>
      </w:r>
      <w:r w:rsidR="006F3CCB">
        <w:rPr>
          <w:b/>
          <w:lang w:val="en-NZ" w:eastAsia="ko-KR"/>
        </w:rPr>
        <w:t>Document APG19-3/INP-87</w:t>
      </w:r>
    </w:p>
    <w:p w:rsidR="00100122" w:rsidRPr="00100122" w:rsidRDefault="00100122" w:rsidP="00100122">
      <w:pPr>
        <w:spacing w:beforeLines="50" w:before="120" w:afterLines="50" w:after="120"/>
        <w:ind w:leftChars="295" w:left="708"/>
        <w:jc w:val="both"/>
        <w:rPr>
          <w:rFonts w:eastAsiaTheme="minorEastAsia"/>
          <w:iCs/>
          <w:lang w:eastAsia="zh-CN"/>
        </w:rPr>
      </w:pPr>
      <w:r w:rsidRPr="00100122">
        <w:rPr>
          <w:rFonts w:eastAsiaTheme="minorEastAsia"/>
          <w:iCs/>
          <w:lang w:eastAsia="zh-CN"/>
        </w:rPr>
        <w:t xml:space="preserve">Any revisions to RR Nos. </w:t>
      </w:r>
      <w:r w:rsidRPr="00664146">
        <w:rPr>
          <w:rFonts w:eastAsiaTheme="minorEastAsia"/>
          <w:b/>
          <w:iCs/>
          <w:lang w:eastAsia="zh-CN"/>
        </w:rPr>
        <w:t>5.447F</w:t>
      </w:r>
      <w:r w:rsidRPr="00100122">
        <w:rPr>
          <w:rFonts w:eastAsiaTheme="minorEastAsia"/>
          <w:iCs/>
          <w:lang w:eastAsia="zh-CN"/>
        </w:rPr>
        <w:t xml:space="preserve"> and </w:t>
      </w:r>
      <w:r w:rsidRPr="00664146">
        <w:rPr>
          <w:rFonts w:eastAsiaTheme="minorEastAsia"/>
          <w:b/>
          <w:iCs/>
          <w:lang w:eastAsia="zh-CN"/>
        </w:rPr>
        <w:t>5.450A</w:t>
      </w:r>
      <w:r w:rsidRPr="00100122">
        <w:rPr>
          <w:rFonts w:eastAsiaTheme="minorEastAsia"/>
          <w:iCs/>
          <w:lang w:eastAsia="zh-CN"/>
        </w:rPr>
        <w:t xml:space="preserve"> should be based on ITU-R technical and regulatory studies and not lower the current level of protection to the existing services. </w:t>
      </w:r>
    </w:p>
    <w:p w:rsidR="006F3CCB" w:rsidRDefault="006F3CCB" w:rsidP="008454C8">
      <w:pPr>
        <w:spacing w:after="120"/>
        <w:jc w:val="both"/>
        <w:rPr>
          <w:b/>
          <w:lang w:val="en-NZ"/>
        </w:rPr>
      </w:pPr>
    </w:p>
    <w:p w:rsidR="008454C8" w:rsidRPr="00197C18" w:rsidRDefault="008454C8" w:rsidP="008454C8">
      <w:pPr>
        <w:spacing w:after="120"/>
        <w:jc w:val="both"/>
        <w:rPr>
          <w:b/>
          <w:lang w:val="en-NZ"/>
        </w:rPr>
      </w:pPr>
      <w:r w:rsidRPr="00197C18">
        <w:rPr>
          <w:b/>
          <w:lang w:val="en-NZ"/>
        </w:rPr>
        <w:t xml:space="preserve">3.2 </w:t>
      </w:r>
      <w:r w:rsidRPr="00197C18">
        <w:rPr>
          <w:b/>
          <w:lang w:val="en-NZ"/>
        </w:rPr>
        <w:tab/>
      </w:r>
      <w:r w:rsidR="00AC1E69">
        <w:rPr>
          <w:b/>
          <w:lang w:val="en-NZ"/>
        </w:rPr>
        <w:t>S</w:t>
      </w:r>
      <w:r w:rsidR="00AC1E69">
        <w:rPr>
          <w:b/>
          <w:lang w:val="en-NZ" w:eastAsia="ko-KR"/>
        </w:rPr>
        <w:t xml:space="preserve">ummary </w:t>
      </w:r>
      <w:r w:rsidR="00AC1E69">
        <w:rPr>
          <w:b/>
          <w:lang w:val="en-NZ"/>
        </w:rPr>
        <w:t>of key points raised during the meeting</w:t>
      </w:r>
    </w:p>
    <w:p w:rsidR="005F1D54" w:rsidRDefault="005F1D54" w:rsidP="00EB70BE">
      <w:pPr>
        <w:numPr>
          <w:ilvl w:val="0"/>
          <w:numId w:val="27"/>
        </w:numPr>
        <w:ind w:leftChars="145" w:left="708"/>
        <w:jc w:val="both"/>
        <w:rPr>
          <w:lang w:val="en-NZ"/>
        </w:rPr>
      </w:pPr>
      <w:r>
        <w:rPr>
          <w:lang w:val="en-NZ"/>
        </w:rPr>
        <w:t xml:space="preserve">In the absence of further development of the matter in APG, the </w:t>
      </w:r>
      <w:r w:rsidRPr="002A54DB">
        <w:rPr>
          <w:lang w:val="en-NZ"/>
        </w:rPr>
        <w:t>APT Preliminary View(s)</w:t>
      </w:r>
      <w:r w:rsidR="00C032D6">
        <w:rPr>
          <w:lang w:val="en-NZ"/>
        </w:rPr>
        <w:t xml:space="preserve"> as contained in the APG19-2</w:t>
      </w:r>
      <w:r>
        <w:rPr>
          <w:lang w:val="en-NZ"/>
        </w:rPr>
        <w:t xml:space="preserve"> is retained as reproduced below in section 4 in this document.</w:t>
      </w:r>
    </w:p>
    <w:p w:rsidR="0058627A" w:rsidRDefault="0058627A" w:rsidP="00B64A60">
      <w:pPr>
        <w:jc w:val="both"/>
        <w:rPr>
          <w:lang w:val="en-NZ" w:eastAsia="ko-KR"/>
        </w:rPr>
      </w:pPr>
    </w:p>
    <w:p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r w:rsidR="00CE072B">
        <w:rPr>
          <w:rStyle w:val="FootnoteReference"/>
          <w:b/>
          <w:lang w:val="en-NZ" w:eastAsia="ko-KR"/>
        </w:rPr>
        <w:footnoteReference w:id="1"/>
      </w:r>
    </w:p>
    <w:p w:rsidR="006455A8" w:rsidRPr="006455A8" w:rsidRDefault="006455A8" w:rsidP="006455A8">
      <w:pPr>
        <w:numPr>
          <w:ilvl w:val="0"/>
          <w:numId w:val="18"/>
        </w:numPr>
        <w:ind w:leftChars="145" w:left="708"/>
        <w:rPr>
          <w:lang w:val="en-NZ"/>
        </w:rPr>
      </w:pPr>
      <w:r w:rsidRPr="006455A8">
        <w:rPr>
          <w:rFonts w:hint="eastAsia"/>
          <w:lang w:val="en-NZ"/>
        </w:rPr>
        <w:t xml:space="preserve">APT </w:t>
      </w:r>
      <w:r w:rsidR="00953ECD">
        <w:rPr>
          <w:lang w:val="en-NZ"/>
        </w:rPr>
        <w:t>M</w:t>
      </w:r>
      <w:r w:rsidRPr="006455A8">
        <w:rPr>
          <w:rFonts w:hint="eastAsia"/>
          <w:lang w:val="en-NZ"/>
        </w:rPr>
        <w:t xml:space="preserve">embers </w:t>
      </w:r>
      <w:r w:rsidRPr="006455A8">
        <w:rPr>
          <w:lang w:val="en-NZ"/>
        </w:rPr>
        <w:t>support</w:t>
      </w:r>
      <w:r w:rsidRPr="006455A8">
        <w:rPr>
          <w:rFonts w:hint="eastAsia"/>
          <w:lang w:val="en-NZ"/>
        </w:rPr>
        <w:t xml:space="preserve"> </w:t>
      </w:r>
      <w:r w:rsidRPr="006455A8">
        <w:rPr>
          <w:lang w:val="en-NZ"/>
        </w:rPr>
        <w:t xml:space="preserve">ITU-R studies to </w:t>
      </w:r>
      <w:r w:rsidRPr="006455A8">
        <w:rPr>
          <w:rFonts w:eastAsia="Calibri"/>
        </w:rPr>
        <w:t xml:space="preserve">investigate the </w:t>
      </w:r>
      <w:r w:rsidRPr="006455A8">
        <w:rPr>
          <w:rFonts w:eastAsiaTheme="minorEastAsia"/>
          <w:iCs/>
          <w:lang w:eastAsia="zh-CN"/>
        </w:rPr>
        <w:t xml:space="preserve">technical and regulatory impacts on the services referred to in Nos. </w:t>
      </w:r>
      <w:r w:rsidRPr="00664146">
        <w:rPr>
          <w:rFonts w:eastAsiaTheme="minorEastAsia"/>
          <w:b/>
          <w:iCs/>
          <w:lang w:eastAsia="zh-CN"/>
        </w:rPr>
        <w:t>5.447F</w:t>
      </w:r>
      <w:r w:rsidRPr="006455A8">
        <w:rPr>
          <w:rFonts w:eastAsiaTheme="minorEastAsia"/>
          <w:iCs/>
          <w:lang w:eastAsia="zh-CN"/>
        </w:rPr>
        <w:t xml:space="preserve"> and </w:t>
      </w:r>
      <w:r w:rsidRPr="00664146">
        <w:rPr>
          <w:rFonts w:eastAsiaTheme="minorEastAsia"/>
          <w:b/>
          <w:iCs/>
          <w:lang w:eastAsia="zh-CN"/>
        </w:rPr>
        <w:t>5.450A</w:t>
      </w:r>
      <w:r w:rsidRPr="006455A8">
        <w:rPr>
          <w:rFonts w:eastAsiaTheme="minorEastAsia"/>
          <w:iCs/>
          <w:lang w:eastAsia="zh-CN"/>
        </w:rPr>
        <w:t xml:space="preserve"> that would result from referencing Recommendation ITU-R M.1638-1 in place of Recommendation ITU-R M.1638-0 in those footnotes and to also add a new reference to Recommendation ITU-R M.1849-1 to these footnotes. In so doing, APT Members also support to ensure the protection of the services to which the band is allocated including those which are referenced in these footnotes without any constraints to these services.</w:t>
      </w:r>
    </w:p>
    <w:p w:rsidR="0009345B" w:rsidRPr="006455A8" w:rsidRDefault="0009345B" w:rsidP="0009345B">
      <w:pPr>
        <w:ind w:left="348"/>
        <w:rPr>
          <w:lang w:val="en-NZ"/>
        </w:rPr>
      </w:pPr>
    </w:p>
    <w:p w:rsidR="00B64A60" w:rsidRPr="008D046E" w:rsidRDefault="00B64A60" w:rsidP="00B64A60">
      <w:pPr>
        <w:spacing w:after="120"/>
        <w:jc w:val="both"/>
        <w:rPr>
          <w:b/>
          <w:lang w:val="en-NZ" w:eastAsia="ko-KR"/>
        </w:rPr>
      </w:pPr>
      <w:r>
        <w:rPr>
          <w:b/>
          <w:lang w:val="en-NZ" w:eastAsia="ko-KR"/>
        </w:rPr>
        <w:t>5.</w:t>
      </w:r>
      <w:r w:rsidRPr="008D046E">
        <w:rPr>
          <w:b/>
          <w:lang w:val="en-NZ" w:eastAsia="ko-KR"/>
        </w:rPr>
        <w:t xml:space="preserve"> </w:t>
      </w:r>
      <w:r w:rsidRPr="008D046E">
        <w:rPr>
          <w:b/>
          <w:lang w:val="en-NZ" w:eastAsia="ko-KR"/>
        </w:rPr>
        <w:tab/>
        <w:t>Other Views</w:t>
      </w:r>
      <w:r w:rsidR="004C2B37">
        <w:rPr>
          <w:b/>
          <w:lang w:val="en-NZ" w:eastAsia="ko-KR"/>
        </w:rPr>
        <w:t xml:space="preserve"> from APT Members</w:t>
      </w:r>
    </w:p>
    <w:p w:rsidR="005F1D54" w:rsidRPr="005F1D54" w:rsidRDefault="005F1D54" w:rsidP="00EB70BE">
      <w:pPr>
        <w:numPr>
          <w:ilvl w:val="0"/>
          <w:numId w:val="18"/>
        </w:numPr>
        <w:ind w:leftChars="145" w:left="708"/>
        <w:rPr>
          <w:lang w:val="en-NZ"/>
        </w:rPr>
      </w:pPr>
      <w:r w:rsidRPr="005F1D54">
        <w:rPr>
          <w:lang w:val="en-NZ"/>
        </w:rPr>
        <w:t xml:space="preserve">Some APT Members proposed to add the word “unacceptable” before the word “constraints” in the last line of the APT Preliminary View(s). </w:t>
      </w:r>
    </w:p>
    <w:p w:rsidR="00B64A60" w:rsidRPr="006455A8" w:rsidRDefault="00B64A60" w:rsidP="00B64A60">
      <w:pPr>
        <w:rPr>
          <w:lang w:val="en-NZ"/>
        </w:rPr>
      </w:pPr>
    </w:p>
    <w:p w:rsidR="004C2B37" w:rsidRPr="008D046E" w:rsidRDefault="004C2B37" w:rsidP="004C2B37">
      <w:pPr>
        <w:spacing w:after="120"/>
        <w:jc w:val="both"/>
        <w:rPr>
          <w:b/>
          <w:lang w:val="en-NZ" w:eastAsia="ko-KR"/>
        </w:rPr>
      </w:pPr>
      <w:r>
        <w:rPr>
          <w:b/>
          <w:lang w:val="en-NZ" w:eastAsia="ko-KR"/>
        </w:rPr>
        <w:t>6.</w:t>
      </w:r>
      <w:r w:rsidRPr="008D046E">
        <w:rPr>
          <w:b/>
          <w:lang w:val="en-NZ" w:eastAsia="ko-KR"/>
        </w:rPr>
        <w:t xml:space="preserve"> </w:t>
      </w:r>
      <w:r w:rsidRPr="008D046E">
        <w:rPr>
          <w:b/>
          <w:lang w:val="en-NZ" w:eastAsia="ko-KR"/>
        </w:rPr>
        <w:tab/>
        <w:t xml:space="preserve">Issues for </w:t>
      </w:r>
      <w:r>
        <w:rPr>
          <w:b/>
          <w:lang w:val="en-NZ" w:eastAsia="ko-KR"/>
        </w:rPr>
        <w:t>C</w:t>
      </w:r>
      <w:r w:rsidRPr="008D046E">
        <w:rPr>
          <w:b/>
          <w:lang w:val="en-NZ" w:eastAsia="ko-KR"/>
        </w:rPr>
        <w:t xml:space="preserve">onsideration at </w:t>
      </w:r>
      <w:r>
        <w:rPr>
          <w:b/>
          <w:lang w:val="en-NZ" w:eastAsia="ko-KR"/>
        </w:rPr>
        <w:t>N</w:t>
      </w:r>
      <w:r w:rsidRPr="008D046E">
        <w:rPr>
          <w:b/>
          <w:lang w:val="en-NZ" w:eastAsia="ko-KR"/>
        </w:rPr>
        <w:t xml:space="preserve">ext APG </w:t>
      </w:r>
      <w:r>
        <w:rPr>
          <w:b/>
          <w:lang w:val="en-NZ" w:eastAsia="ko-KR"/>
        </w:rPr>
        <w:t>M</w:t>
      </w:r>
      <w:r w:rsidRPr="008D046E">
        <w:rPr>
          <w:b/>
          <w:lang w:val="en-NZ" w:eastAsia="ko-KR"/>
        </w:rPr>
        <w:t>eeting</w:t>
      </w:r>
    </w:p>
    <w:p w:rsidR="004C2B37" w:rsidRPr="0074383A" w:rsidRDefault="004C2B37" w:rsidP="004C2B37">
      <w:pPr>
        <w:numPr>
          <w:ilvl w:val="0"/>
          <w:numId w:val="18"/>
        </w:numPr>
        <w:ind w:leftChars="145" w:left="708"/>
        <w:rPr>
          <w:rFonts w:eastAsiaTheme="minorEastAsia"/>
          <w:lang w:val="en-NZ" w:eastAsia="zh-CN"/>
        </w:rPr>
      </w:pPr>
      <w:r w:rsidRPr="0074383A">
        <w:rPr>
          <w:rFonts w:eastAsiaTheme="minorEastAsia"/>
          <w:lang w:val="en-NZ" w:eastAsia="zh-CN"/>
        </w:rPr>
        <w:t xml:space="preserve">APT Members are encouraged to contribute to the next APG </w:t>
      </w:r>
      <w:r>
        <w:rPr>
          <w:rFonts w:eastAsiaTheme="minorEastAsia"/>
          <w:lang w:val="en-NZ" w:eastAsia="zh-CN"/>
        </w:rPr>
        <w:t xml:space="preserve">meeting on the Agenda Item </w:t>
      </w:r>
      <w:r w:rsidR="00F27B27">
        <w:rPr>
          <w:rFonts w:eastAsia="SimSun"/>
          <w:lang w:eastAsia="zh-CN"/>
        </w:rPr>
        <w:t>9.1, Issue 9.1.5</w:t>
      </w:r>
      <w:r w:rsidRPr="0074383A">
        <w:rPr>
          <w:rFonts w:eastAsiaTheme="minorEastAsia"/>
          <w:lang w:val="en-NZ" w:eastAsia="zh-CN"/>
        </w:rPr>
        <w:t xml:space="preserve">, </w:t>
      </w:r>
      <w:r w:rsidR="005F1D54" w:rsidRPr="0074383A">
        <w:rPr>
          <w:rFonts w:eastAsiaTheme="minorEastAsia"/>
          <w:lang w:val="en-NZ" w:eastAsia="zh-CN"/>
        </w:rPr>
        <w:t xml:space="preserve">taking into account </w:t>
      </w:r>
      <w:r w:rsidR="005F1D54">
        <w:rPr>
          <w:rFonts w:eastAsiaTheme="minorEastAsia"/>
          <w:lang w:val="en-NZ" w:eastAsia="zh-CN"/>
        </w:rPr>
        <w:t xml:space="preserve">the outcome of APG19-3 and </w:t>
      </w:r>
      <w:r w:rsidR="005F1D54" w:rsidRPr="0074383A">
        <w:rPr>
          <w:rFonts w:eastAsiaTheme="minorEastAsia"/>
          <w:lang w:val="en-NZ" w:eastAsia="zh-CN"/>
        </w:rPr>
        <w:t xml:space="preserve">the </w:t>
      </w:r>
      <w:r w:rsidR="005F1D54">
        <w:rPr>
          <w:rFonts w:eastAsiaTheme="minorEastAsia"/>
          <w:lang w:val="en-NZ" w:eastAsia="zh-CN"/>
        </w:rPr>
        <w:t xml:space="preserve">results of </w:t>
      </w:r>
      <w:r w:rsidR="005F1D54" w:rsidRPr="0074383A">
        <w:rPr>
          <w:rFonts w:eastAsiaTheme="minorEastAsia"/>
          <w:lang w:val="en-NZ" w:eastAsia="zh-CN"/>
        </w:rPr>
        <w:t xml:space="preserve">ITU-R </w:t>
      </w:r>
      <w:r w:rsidR="005F1D54">
        <w:rPr>
          <w:rFonts w:eastAsiaTheme="minorEastAsia"/>
          <w:lang w:val="en-NZ" w:eastAsia="zh-CN"/>
        </w:rPr>
        <w:t>studies</w:t>
      </w:r>
      <w:r w:rsidR="005F1D54" w:rsidRPr="0074383A">
        <w:rPr>
          <w:rFonts w:eastAsiaTheme="minorEastAsia"/>
          <w:lang w:val="en-NZ" w:eastAsia="zh-CN"/>
        </w:rPr>
        <w:t>.</w:t>
      </w:r>
    </w:p>
    <w:p w:rsidR="004C2B37" w:rsidRPr="00F27B27" w:rsidRDefault="004C2B37" w:rsidP="004C2B37">
      <w:pPr>
        <w:jc w:val="both"/>
        <w:rPr>
          <w:lang w:val="en-NZ"/>
        </w:rPr>
      </w:pPr>
    </w:p>
    <w:p w:rsidR="00D53688" w:rsidRDefault="004C2B37" w:rsidP="00D53688">
      <w:pPr>
        <w:rPr>
          <w:b/>
          <w:lang w:val="en-NZ"/>
        </w:rPr>
      </w:pPr>
      <w:r>
        <w:rPr>
          <w:b/>
          <w:lang w:val="en-NZ"/>
        </w:rPr>
        <w:t>7</w:t>
      </w:r>
      <w:r w:rsidR="00D53688">
        <w:rPr>
          <w:b/>
          <w:lang w:val="en-NZ"/>
        </w:rPr>
        <w:t xml:space="preserve">. </w:t>
      </w:r>
      <w:r w:rsidR="00D53688">
        <w:rPr>
          <w:b/>
          <w:lang w:val="en-NZ"/>
        </w:rPr>
        <w:tab/>
        <w:t xml:space="preserve">Views from Other </w:t>
      </w:r>
      <w:r w:rsidR="00A564FB">
        <w:rPr>
          <w:b/>
          <w:lang w:val="en-NZ"/>
        </w:rPr>
        <w:t>Organisations</w:t>
      </w:r>
    </w:p>
    <w:p w:rsidR="00B313AF" w:rsidRDefault="00B313AF" w:rsidP="00B313AF">
      <w:pPr>
        <w:ind w:left="348"/>
        <w:rPr>
          <w:lang w:val="en-NZ"/>
        </w:rPr>
      </w:pPr>
    </w:p>
    <w:p w:rsidR="004A4BF4" w:rsidRDefault="004A4BF4" w:rsidP="004A4BF4">
      <w:pPr>
        <w:spacing w:after="120"/>
        <w:jc w:val="both"/>
        <w:rPr>
          <w:b/>
          <w:lang w:val="en-NZ" w:eastAsia="ko-KR"/>
        </w:rPr>
      </w:pPr>
      <w:r>
        <w:rPr>
          <w:b/>
          <w:lang w:val="en-NZ" w:eastAsia="ko-KR"/>
        </w:rPr>
        <w:t xml:space="preserve">7.1 </w:t>
      </w:r>
      <w:r>
        <w:rPr>
          <w:b/>
          <w:lang w:val="en-NZ" w:eastAsia="ko-KR"/>
        </w:rPr>
        <w:tab/>
        <w:t>Regional Groups</w:t>
      </w:r>
    </w:p>
    <w:p w:rsidR="004A4BF4" w:rsidRDefault="004A4BF4" w:rsidP="004A4BF4">
      <w:pPr>
        <w:spacing w:after="120"/>
        <w:jc w:val="both"/>
        <w:rPr>
          <w:b/>
          <w:lang w:val="en-NZ" w:eastAsia="ko-KR"/>
        </w:rPr>
      </w:pPr>
      <w:r>
        <w:rPr>
          <w:b/>
          <w:lang w:val="en-NZ" w:eastAsia="ko-KR"/>
        </w:rPr>
        <w:t xml:space="preserve">7.1.1 </w:t>
      </w:r>
      <w:r>
        <w:rPr>
          <w:b/>
          <w:lang w:val="en-NZ" w:eastAsia="ko-KR"/>
        </w:rPr>
        <w:tab/>
        <w:t>ASMG</w:t>
      </w:r>
      <w:r>
        <w:t xml:space="preserve"> - </w:t>
      </w:r>
      <w:r>
        <w:rPr>
          <w:b/>
          <w:lang w:val="en-NZ" w:eastAsia="ko-KR"/>
        </w:rPr>
        <w:t>Document APG19-2/INF-01</w:t>
      </w:r>
    </w:p>
    <w:p w:rsidR="00635322" w:rsidRPr="00FE17A6" w:rsidRDefault="00F27B27" w:rsidP="004A4BF4">
      <w:pPr>
        <w:numPr>
          <w:ilvl w:val="0"/>
          <w:numId w:val="18"/>
        </w:numPr>
        <w:ind w:leftChars="145" w:left="708"/>
        <w:rPr>
          <w:rFonts w:eastAsiaTheme="minorEastAsia"/>
          <w:lang w:val="en-NZ" w:eastAsia="zh-CN"/>
        </w:rPr>
      </w:pPr>
      <w:r>
        <w:rPr>
          <w:rFonts w:eastAsiaTheme="minorEastAsia"/>
          <w:lang w:val="en-NZ" w:eastAsia="zh-CN"/>
        </w:rPr>
        <w:t xml:space="preserve">Follow up the studies and ensure protection of the existing services without adding any new restrictions on them. </w:t>
      </w:r>
      <w:r w:rsidR="002E0058" w:rsidRPr="00FE17A6">
        <w:rPr>
          <w:rFonts w:eastAsiaTheme="minorEastAsia"/>
          <w:lang w:val="en-NZ" w:eastAsia="zh-CN"/>
        </w:rPr>
        <w:t xml:space="preserve"> </w:t>
      </w:r>
    </w:p>
    <w:p w:rsidR="004A4BF4" w:rsidRDefault="004A4BF4" w:rsidP="004A4BF4">
      <w:pPr>
        <w:spacing w:after="120"/>
        <w:jc w:val="both"/>
        <w:rPr>
          <w:b/>
          <w:lang w:val="en-NZ" w:eastAsia="ko-KR"/>
        </w:rPr>
      </w:pPr>
    </w:p>
    <w:p w:rsidR="004A4BF4" w:rsidRPr="004A4BF4" w:rsidRDefault="004A4BF4" w:rsidP="004A4BF4">
      <w:pPr>
        <w:spacing w:after="120"/>
        <w:jc w:val="both"/>
        <w:rPr>
          <w:b/>
          <w:lang w:val="en-NZ" w:eastAsia="ko-KR"/>
        </w:rPr>
      </w:pPr>
      <w:r w:rsidRPr="004A4BF4">
        <w:rPr>
          <w:b/>
          <w:lang w:val="en-NZ" w:eastAsia="ko-KR"/>
        </w:rPr>
        <w:t>7.1.</w:t>
      </w:r>
      <w:r>
        <w:rPr>
          <w:b/>
          <w:lang w:val="en-NZ" w:eastAsia="ko-KR"/>
        </w:rPr>
        <w:t>2</w:t>
      </w:r>
      <w:r w:rsidRPr="004A4BF4">
        <w:rPr>
          <w:b/>
          <w:lang w:val="en-NZ" w:eastAsia="ko-KR"/>
        </w:rPr>
        <w:t xml:space="preserve"> </w:t>
      </w:r>
      <w:r w:rsidRPr="004A4BF4">
        <w:rPr>
          <w:b/>
          <w:lang w:val="en-NZ" w:eastAsia="ko-KR"/>
        </w:rPr>
        <w:tab/>
      </w:r>
      <w:r>
        <w:rPr>
          <w:b/>
          <w:lang w:val="en-NZ" w:eastAsia="ko-KR"/>
        </w:rPr>
        <w:t>ATU</w:t>
      </w:r>
      <w:r w:rsidRPr="004A4BF4">
        <w:rPr>
          <w:b/>
          <w:lang w:val="en-NZ" w:eastAsia="ko-KR"/>
        </w:rPr>
        <w:t xml:space="preserve"> - Document APG19-</w:t>
      </w:r>
      <w:r>
        <w:rPr>
          <w:b/>
          <w:lang w:val="en-NZ" w:eastAsia="ko-KR"/>
        </w:rPr>
        <w:t>2/INF-07</w:t>
      </w:r>
    </w:p>
    <w:p w:rsidR="004A4BF4" w:rsidRPr="00FE17A6" w:rsidRDefault="00FE17A6" w:rsidP="001F4E6F">
      <w:pPr>
        <w:numPr>
          <w:ilvl w:val="0"/>
          <w:numId w:val="18"/>
        </w:numPr>
        <w:ind w:leftChars="145" w:left="708"/>
        <w:rPr>
          <w:rFonts w:eastAsiaTheme="minorEastAsia"/>
          <w:lang w:val="en-NZ" w:eastAsia="zh-CN"/>
        </w:rPr>
      </w:pPr>
      <w:r w:rsidRPr="00FE17A6">
        <w:rPr>
          <w:rFonts w:eastAsiaTheme="minorEastAsia"/>
          <w:lang w:val="en-NZ" w:eastAsia="zh-CN"/>
        </w:rPr>
        <w:t xml:space="preserve">No preliminary position on this agenda item </w:t>
      </w:r>
      <w:r w:rsidR="00683D4A">
        <w:rPr>
          <w:rFonts w:eastAsiaTheme="minorEastAsia"/>
          <w:lang w:val="en-NZ" w:eastAsia="zh-CN"/>
        </w:rPr>
        <w:t>yet</w:t>
      </w:r>
      <w:r w:rsidRPr="00FE17A6">
        <w:rPr>
          <w:rFonts w:eastAsiaTheme="minorEastAsia"/>
          <w:lang w:val="en-NZ" w:eastAsia="zh-CN"/>
        </w:rPr>
        <w:t>.</w:t>
      </w:r>
    </w:p>
    <w:p w:rsidR="004A4BF4" w:rsidRDefault="004A4BF4" w:rsidP="004A4BF4">
      <w:pPr>
        <w:spacing w:after="120"/>
        <w:jc w:val="both"/>
        <w:rPr>
          <w:b/>
          <w:lang w:val="en-NZ" w:eastAsia="ko-KR"/>
        </w:rPr>
      </w:pPr>
    </w:p>
    <w:p w:rsidR="004A4BF4" w:rsidRPr="004A4BF4" w:rsidRDefault="004A4BF4" w:rsidP="004A4BF4">
      <w:pPr>
        <w:spacing w:after="120"/>
        <w:jc w:val="both"/>
        <w:rPr>
          <w:lang w:val="en-NZ"/>
        </w:rPr>
      </w:pPr>
      <w:r w:rsidRPr="004A4BF4">
        <w:rPr>
          <w:b/>
          <w:lang w:val="en-NZ" w:eastAsia="ko-KR"/>
        </w:rPr>
        <w:t>7.1.</w:t>
      </w:r>
      <w:r>
        <w:rPr>
          <w:b/>
          <w:lang w:val="en-NZ" w:eastAsia="ko-KR"/>
        </w:rPr>
        <w:t>3</w:t>
      </w:r>
      <w:r w:rsidRPr="004A4BF4">
        <w:rPr>
          <w:b/>
          <w:lang w:val="en-NZ" w:eastAsia="ko-KR"/>
        </w:rPr>
        <w:t xml:space="preserve"> </w:t>
      </w:r>
      <w:r w:rsidRPr="004A4BF4">
        <w:rPr>
          <w:b/>
          <w:lang w:val="en-NZ" w:eastAsia="ko-KR"/>
        </w:rPr>
        <w:tab/>
      </w:r>
      <w:r>
        <w:rPr>
          <w:b/>
          <w:lang w:val="en-NZ" w:eastAsia="ko-KR"/>
        </w:rPr>
        <w:t>CEPT</w:t>
      </w:r>
      <w:r w:rsidRPr="004A4BF4">
        <w:rPr>
          <w:b/>
          <w:lang w:val="en-NZ" w:eastAsia="ko-KR"/>
        </w:rPr>
        <w:t xml:space="preserve"> - Document APG19-</w:t>
      </w:r>
      <w:r>
        <w:rPr>
          <w:b/>
          <w:lang w:val="en-NZ" w:eastAsia="ko-KR"/>
        </w:rPr>
        <w:t>3</w:t>
      </w:r>
      <w:r w:rsidRPr="004A4BF4">
        <w:rPr>
          <w:b/>
          <w:lang w:val="en-NZ" w:eastAsia="ko-KR"/>
        </w:rPr>
        <w:t>/INF-0</w:t>
      </w:r>
      <w:r>
        <w:rPr>
          <w:b/>
          <w:lang w:val="en-NZ" w:eastAsia="ko-KR"/>
        </w:rPr>
        <w:t>6</w:t>
      </w:r>
    </w:p>
    <w:p w:rsidR="001F4E6F" w:rsidRDefault="001F4E6F" w:rsidP="001F4E6F">
      <w:pPr>
        <w:ind w:left="426"/>
        <w:rPr>
          <w:rFonts w:eastAsiaTheme="minorEastAsia"/>
          <w:lang w:val="en-NZ" w:eastAsia="zh-CN"/>
        </w:rPr>
      </w:pPr>
      <w:r w:rsidRPr="001F4E6F">
        <w:rPr>
          <w:rFonts w:eastAsiaTheme="minorEastAsia"/>
          <w:lang w:val="en-NZ" w:eastAsia="zh-CN"/>
        </w:rPr>
        <w:t>Preliminary CEPT position</w:t>
      </w:r>
      <w:r>
        <w:rPr>
          <w:rFonts w:eastAsiaTheme="minorEastAsia"/>
          <w:lang w:val="en-NZ" w:eastAsia="zh-CN"/>
        </w:rPr>
        <w:t>:</w:t>
      </w:r>
    </w:p>
    <w:p w:rsidR="00F27B27" w:rsidRPr="00F27B27" w:rsidRDefault="00F27B27" w:rsidP="00EB70BE">
      <w:pPr>
        <w:numPr>
          <w:ilvl w:val="0"/>
          <w:numId w:val="18"/>
        </w:numPr>
        <w:ind w:leftChars="145" w:left="708"/>
        <w:rPr>
          <w:rFonts w:eastAsiaTheme="minorEastAsia"/>
          <w:lang w:val="en-NZ" w:eastAsia="zh-CN"/>
        </w:rPr>
      </w:pPr>
      <w:r w:rsidRPr="00F27B27">
        <w:rPr>
          <w:rFonts w:eastAsiaTheme="minorEastAsia"/>
          <w:lang w:val="en-NZ" w:eastAsia="zh-CN"/>
        </w:rPr>
        <w:t xml:space="preserve">CEPT is of the view that Recommendation ITU-R M.1849-1 (on ground based Meteorological radars) can be referenced in No </w:t>
      </w:r>
      <w:r w:rsidRPr="00664146">
        <w:rPr>
          <w:rFonts w:eastAsiaTheme="minorEastAsia"/>
          <w:b/>
          <w:lang w:val="en-NZ" w:eastAsia="zh-CN"/>
        </w:rPr>
        <w:t>5.450A</w:t>
      </w:r>
      <w:r w:rsidRPr="00F27B27">
        <w:rPr>
          <w:rFonts w:eastAsiaTheme="minorEastAsia"/>
          <w:lang w:val="en-NZ" w:eastAsia="zh-CN"/>
        </w:rPr>
        <w:t xml:space="preserve"> without changes to the allocation</w:t>
      </w:r>
      <w:r>
        <w:rPr>
          <w:rFonts w:eastAsiaTheme="minorEastAsia"/>
          <w:lang w:val="en-NZ" w:eastAsia="zh-CN"/>
        </w:rPr>
        <w:t xml:space="preserve"> </w:t>
      </w:r>
      <w:r w:rsidRPr="00F27B27">
        <w:rPr>
          <w:rFonts w:eastAsiaTheme="minorEastAsia"/>
          <w:lang w:val="en-NZ" w:eastAsia="zh-CN"/>
        </w:rPr>
        <w:t>conditions of the frequency band 5 470-5 725 MHz for the incumbent radio services.</w:t>
      </w:r>
    </w:p>
    <w:p w:rsidR="00F27B27" w:rsidRPr="00F27B27" w:rsidRDefault="00F27B27" w:rsidP="00EB70BE">
      <w:pPr>
        <w:numPr>
          <w:ilvl w:val="0"/>
          <w:numId w:val="18"/>
        </w:numPr>
        <w:ind w:leftChars="145" w:left="708"/>
        <w:rPr>
          <w:rFonts w:eastAsiaTheme="minorEastAsia"/>
          <w:lang w:val="en-NZ" w:eastAsia="zh-CN"/>
        </w:rPr>
      </w:pPr>
      <w:r w:rsidRPr="00F27B27">
        <w:rPr>
          <w:rFonts w:eastAsiaTheme="minorEastAsia"/>
          <w:lang w:val="en-NZ" w:eastAsia="zh-CN"/>
        </w:rPr>
        <w:lastRenderedPageBreak/>
        <w:t xml:space="preserve">CEPT opposes referencing Recommendation ITU-R M.1849-1 in Nos </w:t>
      </w:r>
      <w:r w:rsidRPr="00664146">
        <w:rPr>
          <w:rFonts w:eastAsiaTheme="minorEastAsia"/>
          <w:b/>
          <w:lang w:val="en-NZ" w:eastAsia="zh-CN"/>
        </w:rPr>
        <w:t>5.447F</w:t>
      </w:r>
      <w:r w:rsidRPr="00F27B27">
        <w:rPr>
          <w:rFonts w:eastAsiaTheme="minorEastAsia"/>
          <w:lang w:val="en-NZ" w:eastAsia="zh-CN"/>
        </w:rPr>
        <w:t xml:space="preserve"> since it will result in undue constraints placed on the mobile (except aeronautical mobile) service in</w:t>
      </w:r>
      <w:r>
        <w:rPr>
          <w:rFonts w:eastAsiaTheme="minorEastAsia"/>
          <w:lang w:val="en-NZ" w:eastAsia="zh-CN"/>
        </w:rPr>
        <w:t xml:space="preserve"> </w:t>
      </w:r>
      <w:r w:rsidRPr="00F27B27">
        <w:rPr>
          <w:rFonts w:eastAsiaTheme="minorEastAsia"/>
          <w:lang w:val="en-NZ" w:eastAsia="zh-CN"/>
        </w:rPr>
        <w:t xml:space="preserve">the frequency band 5 250-5 350 </w:t>
      </w:r>
      <w:proofErr w:type="spellStart"/>
      <w:r w:rsidRPr="00F27B27">
        <w:rPr>
          <w:rFonts w:eastAsiaTheme="minorEastAsia"/>
          <w:lang w:val="en-NZ" w:eastAsia="zh-CN"/>
        </w:rPr>
        <w:t>MHz.</w:t>
      </w:r>
      <w:proofErr w:type="spellEnd"/>
    </w:p>
    <w:p w:rsidR="00F27B27" w:rsidRPr="00F27B27" w:rsidRDefault="00F27B27" w:rsidP="00EB70BE">
      <w:pPr>
        <w:numPr>
          <w:ilvl w:val="0"/>
          <w:numId w:val="18"/>
        </w:numPr>
        <w:ind w:leftChars="145" w:left="708"/>
        <w:rPr>
          <w:rFonts w:eastAsiaTheme="minorEastAsia"/>
          <w:lang w:val="en-NZ" w:eastAsia="zh-CN"/>
        </w:rPr>
      </w:pPr>
      <w:r w:rsidRPr="00F27B27">
        <w:rPr>
          <w:rFonts w:eastAsiaTheme="minorEastAsia"/>
          <w:lang w:val="en-NZ" w:eastAsia="zh-CN"/>
        </w:rPr>
        <w:t>With the results of current technical studies, CEPT would support keeping reference to</w:t>
      </w:r>
      <w:r>
        <w:rPr>
          <w:rFonts w:eastAsiaTheme="minorEastAsia"/>
          <w:lang w:val="en-NZ" w:eastAsia="zh-CN"/>
        </w:rPr>
        <w:t xml:space="preserve"> </w:t>
      </w:r>
      <w:r w:rsidRPr="00F27B27">
        <w:rPr>
          <w:rFonts w:eastAsiaTheme="minorEastAsia"/>
          <w:lang w:val="en-NZ" w:eastAsia="zh-CN"/>
        </w:rPr>
        <w:t xml:space="preserve">Recommendation ITU-R M.1638-0 in Nos </w:t>
      </w:r>
      <w:r w:rsidRPr="00664146">
        <w:rPr>
          <w:rFonts w:eastAsiaTheme="minorEastAsia"/>
          <w:b/>
          <w:lang w:val="en-NZ" w:eastAsia="zh-CN"/>
        </w:rPr>
        <w:t>5.447F</w:t>
      </w:r>
      <w:r w:rsidRPr="00F27B27">
        <w:rPr>
          <w:rFonts w:eastAsiaTheme="minorEastAsia"/>
          <w:lang w:val="en-NZ" w:eastAsia="zh-CN"/>
        </w:rPr>
        <w:t xml:space="preserve"> and </w:t>
      </w:r>
      <w:r w:rsidRPr="00664146">
        <w:rPr>
          <w:rFonts w:eastAsiaTheme="minorEastAsia"/>
          <w:b/>
          <w:lang w:val="en-NZ" w:eastAsia="zh-CN"/>
        </w:rPr>
        <w:t>5.450A</w:t>
      </w:r>
      <w:r w:rsidRPr="00F27B27">
        <w:rPr>
          <w:rFonts w:eastAsiaTheme="minorEastAsia"/>
          <w:lang w:val="en-NZ" w:eastAsia="zh-CN"/>
        </w:rPr>
        <w:t>.</w:t>
      </w:r>
    </w:p>
    <w:p w:rsidR="004A4BF4" w:rsidRPr="00F27B27" w:rsidRDefault="00F27B27" w:rsidP="00EB70BE">
      <w:pPr>
        <w:numPr>
          <w:ilvl w:val="0"/>
          <w:numId w:val="18"/>
        </w:numPr>
        <w:ind w:leftChars="145" w:left="708"/>
        <w:rPr>
          <w:rFonts w:eastAsiaTheme="minorEastAsia"/>
          <w:lang w:val="en-NZ" w:eastAsia="zh-CN"/>
        </w:rPr>
      </w:pPr>
      <w:r w:rsidRPr="00F27B27">
        <w:rPr>
          <w:rFonts w:eastAsiaTheme="minorEastAsia"/>
          <w:lang w:val="en-NZ" w:eastAsia="zh-CN"/>
        </w:rPr>
        <w:t>CEPT is further investigating the potential technical and regulatory impacts of an alternative solution which would consist of deleting the second sentence of the footnotes, where the Recommendations are referenced and add information related to the</w:t>
      </w:r>
      <w:r>
        <w:rPr>
          <w:rFonts w:eastAsiaTheme="minorEastAsia"/>
          <w:lang w:val="en-NZ" w:eastAsia="zh-CN"/>
        </w:rPr>
        <w:t xml:space="preserve"> </w:t>
      </w:r>
      <w:r w:rsidRPr="00F27B27">
        <w:rPr>
          <w:rFonts w:eastAsiaTheme="minorEastAsia"/>
          <w:lang w:val="en-NZ" w:eastAsia="zh-CN"/>
        </w:rPr>
        <w:t xml:space="preserve">applicability of No </w:t>
      </w:r>
      <w:r w:rsidRPr="00664146">
        <w:rPr>
          <w:rFonts w:eastAsiaTheme="minorEastAsia"/>
          <w:b/>
          <w:lang w:val="en-NZ" w:eastAsia="zh-CN"/>
        </w:rPr>
        <w:t>5.43A</w:t>
      </w:r>
      <w:r w:rsidRPr="00F27B27">
        <w:rPr>
          <w:rFonts w:eastAsiaTheme="minorEastAsia"/>
          <w:lang w:val="en-NZ" w:eastAsia="zh-CN"/>
        </w:rPr>
        <w:t>.</w:t>
      </w:r>
    </w:p>
    <w:p w:rsidR="001F4E6F" w:rsidRDefault="001F4E6F" w:rsidP="004A4BF4">
      <w:pPr>
        <w:spacing w:after="120"/>
        <w:jc w:val="both"/>
        <w:rPr>
          <w:b/>
          <w:lang w:val="en-NZ" w:eastAsia="ko-KR"/>
        </w:rPr>
      </w:pPr>
    </w:p>
    <w:p w:rsidR="004A4BF4" w:rsidRPr="004A4BF4" w:rsidRDefault="004A4BF4" w:rsidP="004A4BF4">
      <w:pPr>
        <w:spacing w:after="120"/>
        <w:jc w:val="both"/>
        <w:rPr>
          <w:b/>
          <w:lang w:val="en-NZ" w:eastAsia="ko-KR"/>
        </w:rPr>
      </w:pPr>
      <w:r w:rsidRPr="004A4BF4">
        <w:rPr>
          <w:b/>
          <w:lang w:val="en-NZ" w:eastAsia="ko-KR"/>
        </w:rPr>
        <w:t>7.1.</w:t>
      </w:r>
      <w:r>
        <w:rPr>
          <w:b/>
          <w:lang w:val="en-NZ" w:eastAsia="ko-KR"/>
        </w:rPr>
        <w:t>4</w:t>
      </w:r>
      <w:r w:rsidRPr="004A4BF4">
        <w:rPr>
          <w:b/>
          <w:lang w:val="en-NZ" w:eastAsia="ko-KR"/>
        </w:rPr>
        <w:t xml:space="preserve"> </w:t>
      </w:r>
      <w:r w:rsidRPr="004A4BF4">
        <w:rPr>
          <w:b/>
          <w:lang w:val="en-NZ" w:eastAsia="ko-KR"/>
        </w:rPr>
        <w:tab/>
      </w:r>
      <w:r>
        <w:rPr>
          <w:b/>
          <w:lang w:val="en-NZ" w:eastAsia="ko-KR"/>
        </w:rPr>
        <w:t>CITEL</w:t>
      </w:r>
      <w:r w:rsidRPr="004A4BF4">
        <w:rPr>
          <w:b/>
          <w:lang w:val="en-NZ" w:eastAsia="ko-KR"/>
        </w:rPr>
        <w:t xml:space="preserve"> - Document APG19-3/</w:t>
      </w:r>
      <w:r w:rsidRPr="002C2CE2">
        <w:rPr>
          <w:b/>
          <w:lang w:val="en-NZ" w:eastAsia="ko-KR"/>
        </w:rPr>
        <w:t>INF-08</w:t>
      </w:r>
      <w:r w:rsidR="00950818" w:rsidRPr="002C2CE2">
        <w:rPr>
          <w:b/>
          <w:lang w:val="en-NZ" w:eastAsia="ko-KR"/>
        </w:rPr>
        <w:t>Rev.1</w:t>
      </w:r>
    </w:p>
    <w:p w:rsidR="00C032D6" w:rsidRPr="00F27B27" w:rsidRDefault="00C032D6" w:rsidP="00FB259D">
      <w:pPr>
        <w:numPr>
          <w:ilvl w:val="0"/>
          <w:numId w:val="18"/>
        </w:numPr>
        <w:ind w:leftChars="145" w:left="708"/>
        <w:rPr>
          <w:rFonts w:eastAsiaTheme="minorEastAsia"/>
          <w:lang w:val="en-NZ" w:eastAsia="zh-CN"/>
        </w:rPr>
      </w:pPr>
      <w:r w:rsidRPr="00C032D6">
        <w:rPr>
          <w:rFonts w:eastAsiaTheme="minorEastAsia"/>
          <w:lang w:val="en-NZ" w:eastAsia="zh-CN"/>
        </w:rPr>
        <w:t>One country supports avoiding introduction of ITU- M.1638-1 in the RR as there appears to be, based on current studies, significant impacts on RLAN DFS requirements due to new radar characteristics</w:t>
      </w:r>
    </w:p>
    <w:p w:rsidR="00F27B27" w:rsidRDefault="00F27B27" w:rsidP="004A4BF4">
      <w:pPr>
        <w:spacing w:after="120"/>
        <w:jc w:val="both"/>
        <w:rPr>
          <w:b/>
          <w:lang w:val="en-NZ" w:eastAsia="ko-KR"/>
        </w:rPr>
      </w:pPr>
    </w:p>
    <w:p w:rsidR="004A4BF4" w:rsidRPr="004A4BF4" w:rsidRDefault="004A4BF4" w:rsidP="004A4BF4">
      <w:pPr>
        <w:spacing w:after="120"/>
        <w:jc w:val="both"/>
        <w:rPr>
          <w:b/>
          <w:lang w:val="en-NZ" w:eastAsia="ko-KR"/>
        </w:rPr>
      </w:pPr>
      <w:r w:rsidRPr="004A4BF4">
        <w:rPr>
          <w:b/>
          <w:lang w:val="en-NZ" w:eastAsia="ko-KR"/>
        </w:rPr>
        <w:t>7.1.</w:t>
      </w:r>
      <w:r>
        <w:rPr>
          <w:b/>
          <w:lang w:val="en-NZ" w:eastAsia="ko-KR"/>
        </w:rPr>
        <w:t>5</w:t>
      </w:r>
      <w:r w:rsidRPr="004A4BF4">
        <w:rPr>
          <w:b/>
          <w:lang w:val="en-NZ" w:eastAsia="ko-KR"/>
        </w:rPr>
        <w:t xml:space="preserve"> </w:t>
      </w:r>
      <w:r w:rsidRPr="004A4BF4">
        <w:rPr>
          <w:b/>
          <w:lang w:val="en-NZ" w:eastAsia="ko-KR"/>
        </w:rPr>
        <w:tab/>
      </w:r>
      <w:r>
        <w:rPr>
          <w:b/>
          <w:lang w:val="en-NZ" w:eastAsia="ko-KR"/>
        </w:rPr>
        <w:t>RCC</w:t>
      </w:r>
      <w:r w:rsidRPr="004A4BF4">
        <w:rPr>
          <w:b/>
          <w:lang w:val="en-NZ" w:eastAsia="ko-KR"/>
        </w:rPr>
        <w:t xml:space="preserve"> - Document APG19-</w:t>
      </w:r>
      <w:r>
        <w:rPr>
          <w:b/>
          <w:lang w:val="en-NZ" w:eastAsia="ko-KR"/>
        </w:rPr>
        <w:t>2</w:t>
      </w:r>
      <w:r w:rsidRPr="004A4BF4">
        <w:rPr>
          <w:b/>
          <w:lang w:val="en-NZ" w:eastAsia="ko-KR"/>
        </w:rPr>
        <w:t>/INF-0</w:t>
      </w:r>
      <w:r>
        <w:rPr>
          <w:b/>
          <w:lang w:val="en-NZ" w:eastAsia="ko-KR"/>
        </w:rPr>
        <w:t>5</w:t>
      </w:r>
    </w:p>
    <w:p w:rsidR="00F27B27" w:rsidRPr="00F27B27" w:rsidRDefault="00F27B27" w:rsidP="00F27B27">
      <w:pPr>
        <w:numPr>
          <w:ilvl w:val="0"/>
          <w:numId w:val="18"/>
        </w:numPr>
        <w:ind w:leftChars="145" w:left="708"/>
        <w:rPr>
          <w:rFonts w:eastAsiaTheme="minorEastAsia"/>
          <w:lang w:val="en-NZ" w:eastAsia="zh-CN"/>
        </w:rPr>
      </w:pPr>
      <w:r w:rsidRPr="00F27B27">
        <w:rPr>
          <w:rFonts w:eastAsiaTheme="minorEastAsia"/>
          <w:lang w:val="en-NZ" w:eastAsia="zh-CN"/>
        </w:rPr>
        <w:t>The RCC Administrations consider that additional studies on compatibility between WAS/RLAN systems and radiolocation systems might be required, in addition to those which have been already conducted in preparation to WRC-15 and which have been identified in WRC-19 agenda item 1.16, and they should take into account parameters of new radiolocation systems, described in Recommendations ITU-R M.1638-1 and M.1849-1.</w:t>
      </w:r>
    </w:p>
    <w:p w:rsidR="00F27B27" w:rsidRPr="00F27B27" w:rsidRDefault="00F27B27" w:rsidP="00F27B27">
      <w:pPr>
        <w:numPr>
          <w:ilvl w:val="0"/>
          <w:numId w:val="18"/>
        </w:numPr>
        <w:ind w:leftChars="145" w:left="708"/>
        <w:rPr>
          <w:rFonts w:eastAsiaTheme="minorEastAsia"/>
          <w:lang w:val="en-NZ" w:eastAsia="zh-CN"/>
        </w:rPr>
      </w:pPr>
      <w:r w:rsidRPr="00F27B27">
        <w:rPr>
          <w:rFonts w:eastAsiaTheme="minorEastAsia"/>
          <w:lang w:val="en-NZ" w:eastAsia="zh-CN"/>
        </w:rPr>
        <w:t xml:space="preserve">The RCC Administrations are in favour of maintaining the conditions for use of the allocation of the frequency bands 5250–5350 MHz and 5470–5725 MHz by </w:t>
      </w:r>
      <w:proofErr w:type="spellStart"/>
      <w:r w:rsidRPr="00F27B27">
        <w:rPr>
          <w:rFonts w:eastAsiaTheme="minorEastAsia"/>
          <w:lang w:val="en-NZ" w:eastAsia="zh-CN"/>
        </w:rPr>
        <w:t>radiodetermination</w:t>
      </w:r>
      <w:proofErr w:type="spellEnd"/>
      <w:r w:rsidRPr="00F27B27">
        <w:rPr>
          <w:rFonts w:eastAsiaTheme="minorEastAsia"/>
          <w:lang w:val="en-NZ" w:eastAsia="zh-CN"/>
        </w:rPr>
        <w:t xml:space="preserve"> services.</w:t>
      </w:r>
    </w:p>
    <w:p w:rsidR="004A4BF4" w:rsidRPr="00F27B27" w:rsidRDefault="00F27B27" w:rsidP="00EB70BE">
      <w:pPr>
        <w:numPr>
          <w:ilvl w:val="0"/>
          <w:numId w:val="18"/>
        </w:numPr>
        <w:ind w:leftChars="145" w:left="708"/>
        <w:rPr>
          <w:rFonts w:eastAsiaTheme="minorEastAsia"/>
          <w:lang w:val="en-NZ" w:eastAsia="zh-CN"/>
        </w:rPr>
      </w:pPr>
      <w:r>
        <w:rPr>
          <w:rFonts w:eastAsiaTheme="minorEastAsia"/>
          <w:lang w:val="en-NZ" w:eastAsia="zh-CN"/>
        </w:rPr>
        <w:t>The RCC</w:t>
      </w:r>
      <w:r w:rsidRPr="00F27B27">
        <w:rPr>
          <w:rFonts w:eastAsiaTheme="minorEastAsia"/>
          <w:lang w:val="en-NZ" w:eastAsia="zh-CN"/>
        </w:rPr>
        <w:t xml:space="preserve"> Administrations consider that reference to Recommendations ITU-R М.1638-1 and М.1849-1 in the RR No. </w:t>
      </w:r>
      <w:r w:rsidRPr="00664146">
        <w:rPr>
          <w:rFonts w:eastAsiaTheme="minorEastAsia"/>
          <w:b/>
          <w:lang w:val="en-NZ" w:eastAsia="zh-CN"/>
        </w:rPr>
        <w:t>5.450А</w:t>
      </w:r>
      <w:r w:rsidRPr="00F27B27">
        <w:rPr>
          <w:rFonts w:eastAsiaTheme="minorEastAsia"/>
          <w:lang w:val="en-NZ" w:eastAsia="zh-CN"/>
        </w:rPr>
        <w:t xml:space="preserve"> would not result in changing the conditions for use of the frequency band 5470–5725 MHz allocations to services.</w:t>
      </w:r>
    </w:p>
    <w:p w:rsidR="001F4E6F" w:rsidRDefault="001F4E6F" w:rsidP="004A4BF4">
      <w:pPr>
        <w:spacing w:after="120"/>
        <w:jc w:val="both"/>
        <w:rPr>
          <w:b/>
          <w:lang w:val="en-NZ" w:eastAsia="ko-KR"/>
        </w:rPr>
      </w:pPr>
    </w:p>
    <w:p w:rsidR="003F26E1" w:rsidRPr="002C2CE2" w:rsidRDefault="003F26E1" w:rsidP="003F26E1">
      <w:pPr>
        <w:spacing w:after="120"/>
        <w:jc w:val="both"/>
        <w:rPr>
          <w:b/>
          <w:lang w:val="en-NZ" w:eastAsia="ko-KR"/>
        </w:rPr>
      </w:pPr>
      <w:r w:rsidRPr="002C2CE2">
        <w:rPr>
          <w:b/>
          <w:lang w:val="en-NZ" w:eastAsia="ko-KR"/>
        </w:rPr>
        <w:t xml:space="preserve">7.2 </w:t>
      </w:r>
      <w:r w:rsidRPr="002C2CE2">
        <w:rPr>
          <w:b/>
          <w:lang w:val="en-NZ" w:eastAsia="ko-KR"/>
        </w:rPr>
        <w:tab/>
        <w:t>International Organisations</w:t>
      </w:r>
    </w:p>
    <w:p w:rsidR="009B478F" w:rsidRPr="002C2CE2" w:rsidRDefault="003F26E1" w:rsidP="003F26E1">
      <w:pPr>
        <w:spacing w:after="120"/>
        <w:jc w:val="both"/>
        <w:rPr>
          <w:b/>
          <w:lang w:val="en-NZ" w:eastAsia="ko-KR"/>
        </w:rPr>
      </w:pPr>
      <w:r w:rsidRPr="002C2CE2">
        <w:rPr>
          <w:b/>
          <w:lang w:val="en-NZ" w:eastAsia="ko-KR"/>
        </w:rPr>
        <w:t xml:space="preserve">7.2.1 </w:t>
      </w:r>
      <w:r w:rsidRPr="002C2CE2">
        <w:rPr>
          <w:b/>
          <w:lang w:val="en-NZ" w:eastAsia="ko-KR"/>
        </w:rPr>
        <w:tab/>
        <w:t xml:space="preserve">IARU </w:t>
      </w:r>
    </w:p>
    <w:p w:rsidR="003F26E1" w:rsidRPr="002C2CE2" w:rsidRDefault="009B478F" w:rsidP="009B478F">
      <w:pPr>
        <w:numPr>
          <w:ilvl w:val="0"/>
          <w:numId w:val="18"/>
        </w:numPr>
        <w:ind w:leftChars="145" w:left="708"/>
        <w:rPr>
          <w:rFonts w:eastAsiaTheme="minorEastAsia"/>
          <w:lang w:val="en-NZ" w:eastAsia="zh-CN"/>
        </w:rPr>
      </w:pPr>
      <w:r w:rsidRPr="002C2CE2">
        <w:rPr>
          <w:rFonts w:eastAsiaTheme="minorEastAsia"/>
          <w:lang w:val="en-NZ" w:eastAsia="zh-CN"/>
        </w:rPr>
        <w:t xml:space="preserve">- </w:t>
      </w:r>
      <w:r w:rsidR="003F26E1" w:rsidRPr="002C2CE2">
        <w:rPr>
          <w:rFonts w:eastAsiaTheme="minorEastAsia"/>
          <w:lang w:val="en-NZ" w:eastAsia="zh-CN"/>
        </w:rPr>
        <w:t>None</w:t>
      </w:r>
    </w:p>
    <w:p w:rsidR="003F26E1" w:rsidRPr="002C2CE2" w:rsidRDefault="003F26E1" w:rsidP="003F26E1">
      <w:pPr>
        <w:spacing w:after="120"/>
        <w:jc w:val="both"/>
        <w:rPr>
          <w:b/>
          <w:lang w:val="en-NZ" w:eastAsia="ko-KR"/>
        </w:rPr>
      </w:pPr>
    </w:p>
    <w:p w:rsidR="003F26E1" w:rsidRPr="002C2CE2" w:rsidRDefault="003F26E1" w:rsidP="003F26E1">
      <w:pPr>
        <w:spacing w:after="120"/>
        <w:jc w:val="both"/>
        <w:rPr>
          <w:b/>
          <w:lang w:val="en-NZ" w:eastAsia="ko-KR"/>
        </w:rPr>
      </w:pPr>
      <w:r w:rsidRPr="002C2CE2">
        <w:rPr>
          <w:b/>
          <w:lang w:val="en-NZ" w:eastAsia="ko-KR"/>
        </w:rPr>
        <w:t xml:space="preserve">7.2.2 </w:t>
      </w:r>
      <w:r w:rsidRPr="002C2CE2">
        <w:rPr>
          <w:b/>
          <w:lang w:val="en-NZ" w:eastAsia="ko-KR"/>
        </w:rPr>
        <w:tab/>
        <w:t xml:space="preserve">ICAO </w:t>
      </w:r>
    </w:p>
    <w:p w:rsidR="003F26E1" w:rsidRPr="002C2CE2" w:rsidRDefault="003F26E1" w:rsidP="003F26E1">
      <w:pPr>
        <w:numPr>
          <w:ilvl w:val="0"/>
          <w:numId w:val="18"/>
        </w:numPr>
        <w:ind w:leftChars="145" w:left="708"/>
        <w:rPr>
          <w:rFonts w:eastAsiaTheme="minorEastAsia"/>
          <w:lang w:val="en-NZ" w:eastAsia="zh-CN"/>
        </w:rPr>
      </w:pPr>
      <w:r w:rsidRPr="002C2CE2">
        <w:rPr>
          <w:rFonts w:eastAsiaTheme="minorEastAsia"/>
          <w:lang w:val="en-NZ" w:eastAsia="zh-CN"/>
        </w:rPr>
        <w:t>None</w:t>
      </w:r>
    </w:p>
    <w:p w:rsidR="003F26E1" w:rsidRPr="004A4BF4" w:rsidRDefault="003F26E1" w:rsidP="00953ECD">
      <w:pPr>
        <w:ind w:left="-80"/>
        <w:jc w:val="center"/>
        <w:rPr>
          <w:rFonts w:eastAsiaTheme="minorEastAsia"/>
          <w:lang w:val="en-NZ" w:eastAsia="zh-CN"/>
        </w:rPr>
      </w:pPr>
      <w:bookmarkStart w:id="0" w:name="_GoBack"/>
      <w:bookmarkEnd w:id="0"/>
    </w:p>
    <w:p w:rsidR="00B64A60" w:rsidRPr="00710333" w:rsidRDefault="00B64A60" w:rsidP="00953ECD">
      <w:pPr>
        <w:jc w:val="center"/>
        <w:rPr>
          <w:snapToGrid w:val="0"/>
          <w:lang w:val="en-NZ"/>
        </w:rPr>
      </w:pPr>
      <w:r w:rsidRPr="00710333">
        <w:rPr>
          <w:lang w:val="en-NZ"/>
        </w:rPr>
        <w:t>____________</w:t>
      </w:r>
    </w:p>
    <w:p w:rsidR="00930E64" w:rsidRPr="007673CA" w:rsidRDefault="00930E64" w:rsidP="00953ECD">
      <w:pPr>
        <w:jc w:val="center"/>
        <w:rPr>
          <w:lang w:val="en-NZ"/>
        </w:rPr>
      </w:pPr>
    </w:p>
    <w:sectPr w:rsidR="00930E64" w:rsidRPr="007673CA"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92B" w:rsidRDefault="004E492B">
      <w:r>
        <w:separator/>
      </w:r>
    </w:p>
  </w:endnote>
  <w:endnote w:type="continuationSeparator" w:id="0">
    <w:p w:rsidR="004E492B" w:rsidRDefault="004E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BE" w:rsidRDefault="00EB70BE"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70BE" w:rsidRDefault="00EB70BE"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BE" w:rsidRDefault="00607731" w:rsidP="00607731">
    <w:pPr>
      <w:pStyle w:val="Footer"/>
      <w:ind w:right="360"/>
    </w:pPr>
    <w:r>
      <w:rPr>
        <w:rFonts w:hint="eastAsia"/>
        <w:lang w:eastAsia="ko-KR"/>
      </w:rPr>
      <w:t>A</w:t>
    </w:r>
    <w:r>
      <w:rPr>
        <w:lang w:eastAsia="ko-KR"/>
      </w:rPr>
      <w:t>PG19-3/</w:t>
    </w:r>
    <w:r w:rsidR="00525E53">
      <w:rPr>
        <w:lang w:eastAsia="ko-KR"/>
      </w:rPr>
      <w:t>OUT-11</w:t>
    </w:r>
    <w:r>
      <w:rPr>
        <w:rStyle w:val="PageNumber"/>
      </w:rPr>
      <w:tab/>
    </w:r>
    <w:r>
      <w:rPr>
        <w:rStyle w:val="PageNumber"/>
      </w:rPr>
      <w:tab/>
    </w:r>
    <w:r w:rsidR="00EB70BE" w:rsidRPr="002C7EA9">
      <w:rPr>
        <w:rStyle w:val="PageNumber"/>
      </w:rPr>
      <w:t xml:space="preserve">Page </w:t>
    </w:r>
    <w:r w:rsidR="00EB70BE" w:rsidRPr="002C7EA9">
      <w:rPr>
        <w:rStyle w:val="PageNumber"/>
      </w:rPr>
      <w:fldChar w:fldCharType="begin"/>
    </w:r>
    <w:r w:rsidR="00EB70BE" w:rsidRPr="002C7EA9">
      <w:rPr>
        <w:rStyle w:val="PageNumber"/>
      </w:rPr>
      <w:instrText xml:space="preserve"> PAGE </w:instrText>
    </w:r>
    <w:r w:rsidR="00EB70BE" w:rsidRPr="002C7EA9">
      <w:rPr>
        <w:rStyle w:val="PageNumber"/>
      </w:rPr>
      <w:fldChar w:fldCharType="separate"/>
    </w:r>
    <w:r w:rsidR="00953ECD">
      <w:rPr>
        <w:rStyle w:val="PageNumber"/>
        <w:noProof/>
      </w:rPr>
      <w:t>3</w:t>
    </w:r>
    <w:r w:rsidR="00EB70BE" w:rsidRPr="002C7EA9">
      <w:rPr>
        <w:rStyle w:val="PageNumber"/>
      </w:rPr>
      <w:fldChar w:fldCharType="end"/>
    </w:r>
    <w:r w:rsidR="00EB70BE" w:rsidRPr="002C7EA9">
      <w:rPr>
        <w:rStyle w:val="PageNumber"/>
      </w:rPr>
      <w:t xml:space="preserve"> of </w:t>
    </w:r>
    <w:r w:rsidR="00EB70BE" w:rsidRPr="002C7EA9">
      <w:rPr>
        <w:rStyle w:val="PageNumber"/>
      </w:rPr>
      <w:fldChar w:fldCharType="begin"/>
    </w:r>
    <w:r w:rsidR="00EB70BE" w:rsidRPr="002C7EA9">
      <w:rPr>
        <w:rStyle w:val="PageNumber"/>
      </w:rPr>
      <w:instrText xml:space="preserve"> NUMPAGES </w:instrText>
    </w:r>
    <w:r w:rsidR="00EB70BE" w:rsidRPr="002C7EA9">
      <w:rPr>
        <w:rStyle w:val="PageNumber"/>
      </w:rPr>
      <w:fldChar w:fldCharType="separate"/>
    </w:r>
    <w:r w:rsidR="00953ECD">
      <w:rPr>
        <w:rStyle w:val="PageNumber"/>
        <w:noProof/>
      </w:rPr>
      <w:t>4</w:t>
    </w:r>
    <w:r w:rsidR="00EB70BE"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3850"/>
      <w:gridCol w:w="4214"/>
    </w:tblGrid>
    <w:tr w:rsidR="00953ECD" w:rsidTr="00083057">
      <w:trPr>
        <w:trHeight w:val="432"/>
      </w:trPr>
      <w:tc>
        <w:tcPr>
          <w:tcW w:w="1296" w:type="dxa"/>
          <w:tcBorders>
            <w:top w:val="single" w:sz="8" w:space="0" w:color="auto"/>
            <w:bottom w:val="nil"/>
            <w:right w:val="nil"/>
          </w:tcBorders>
        </w:tcPr>
        <w:p w:rsidR="00953ECD" w:rsidRDefault="00953ECD" w:rsidP="00953ECD">
          <w:pPr>
            <w:pStyle w:val="Footer"/>
            <w:tabs>
              <w:tab w:val="clear" w:pos="4320"/>
              <w:tab w:val="clear" w:pos="8640"/>
            </w:tabs>
            <w:rPr>
              <w:sz w:val="16"/>
              <w:szCs w:val="16"/>
            </w:rPr>
          </w:pPr>
          <w:r>
            <w:rPr>
              <w:b/>
              <w:bCs/>
            </w:rPr>
            <w:t>Contact:</w:t>
          </w:r>
        </w:p>
      </w:tc>
      <w:tc>
        <w:tcPr>
          <w:tcW w:w="3850" w:type="dxa"/>
          <w:tcBorders>
            <w:top w:val="single" w:sz="8" w:space="0" w:color="auto"/>
            <w:left w:val="nil"/>
            <w:bottom w:val="nil"/>
            <w:right w:val="nil"/>
          </w:tcBorders>
        </w:tcPr>
        <w:p w:rsidR="00953ECD" w:rsidRPr="006256C1" w:rsidRDefault="00953ECD" w:rsidP="00953ECD">
          <w:pPr>
            <w:pStyle w:val="Footer"/>
            <w:tabs>
              <w:tab w:val="clear" w:pos="4320"/>
              <w:tab w:val="clear" w:pos="8640"/>
            </w:tabs>
            <w:rPr>
              <w:rFonts w:eastAsia="MS Mincho"/>
              <w:lang w:eastAsia="ja-JP"/>
            </w:rPr>
          </w:pPr>
          <w:r>
            <w:rPr>
              <w:rFonts w:eastAsia="MS Mincho"/>
              <w:lang w:eastAsia="ja-JP"/>
            </w:rPr>
            <w:t>DR. KYUNG-MEE KIM</w:t>
          </w:r>
        </w:p>
        <w:p w:rsidR="00953ECD" w:rsidRPr="006256C1" w:rsidRDefault="00953ECD" w:rsidP="00953ECD">
          <w:pPr>
            <w:pStyle w:val="Footer"/>
            <w:tabs>
              <w:tab w:val="clear" w:pos="4320"/>
              <w:tab w:val="clear" w:pos="8640"/>
            </w:tabs>
            <w:rPr>
              <w:rFonts w:eastAsia="MS Mincho"/>
              <w:lang w:eastAsia="ja-JP"/>
            </w:rPr>
          </w:pPr>
          <w:r>
            <w:t>Chairman, WP 2</w:t>
          </w:r>
        </w:p>
      </w:tc>
      <w:tc>
        <w:tcPr>
          <w:tcW w:w="4214" w:type="dxa"/>
          <w:tcBorders>
            <w:top w:val="single" w:sz="8" w:space="0" w:color="auto"/>
            <w:left w:val="nil"/>
            <w:bottom w:val="nil"/>
          </w:tcBorders>
        </w:tcPr>
        <w:p w:rsidR="00953ECD" w:rsidRPr="00175E36" w:rsidRDefault="00953ECD" w:rsidP="00953ECD">
          <w:pPr>
            <w:pStyle w:val="Footer"/>
            <w:tabs>
              <w:tab w:val="clear" w:pos="4320"/>
              <w:tab w:val="clear" w:pos="8640"/>
            </w:tabs>
            <w:rPr>
              <w:rFonts w:eastAsia="MS Mincho"/>
              <w:lang w:eastAsia="ja-JP"/>
            </w:rPr>
          </w:pPr>
          <w:r>
            <w:t>E-mail:</w:t>
          </w:r>
          <w:r>
            <w:rPr>
              <w:rFonts w:eastAsia="MS Mincho" w:hint="eastAsia"/>
              <w:lang w:eastAsia="ja-JP"/>
            </w:rPr>
            <w:t xml:space="preserve"> </w:t>
          </w:r>
          <w:hyperlink r:id="rId1" w:history="1">
            <w:r w:rsidRPr="00544FDE">
              <w:rPr>
                <w:rStyle w:val="Hyperlink"/>
                <w:rFonts w:eastAsia="MS Mincho"/>
                <w:lang w:eastAsia="ja-JP"/>
              </w:rPr>
              <w:t>kyungmee5@korea.kr</w:t>
            </w:r>
          </w:hyperlink>
          <w:r>
            <w:rPr>
              <w:rFonts w:eastAsia="MS Mincho"/>
              <w:lang w:eastAsia="ja-JP"/>
            </w:rPr>
            <w:t xml:space="preserve"> </w:t>
          </w:r>
        </w:p>
      </w:tc>
    </w:tr>
  </w:tbl>
  <w:p w:rsidR="00EB70BE" w:rsidRDefault="00EB7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92B" w:rsidRDefault="004E492B">
      <w:r>
        <w:separator/>
      </w:r>
    </w:p>
  </w:footnote>
  <w:footnote w:type="continuationSeparator" w:id="0">
    <w:p w:rsidR="004E492B" w:rsidRDefault="004E492B">
      <w:r>
        <w:continuationSeparator/>
      </w:r>
    </w:p>
  </w:footnote>
  <w:footnote w:id="1">
    <w:p w:rsidR="00CE072B" w:rsidRDefault="00CE072B">
      <w:pPr>
        <w:pStyle w:val="FootnoteText"/>
      </w:pPr>
      <w:r>
        <w:rPr>
          <w:rStyle w:val="FootnoteReference"/>
        </w:rPr>
        <w:footnoteRef/>
      </w:r>
      <w:r>
        <w:t xml:space="preserve">  </w:t>
      </w:r>
      <w:hyperlink r:id="rId1" w:history="1">
        <w:r w:rsidRPr="00CE072B">
          <w:rPr>
            <w:rStyle w:val="Hyperlink"/>
          </w:rPr>
          <w:t>Document APG19-3/OUT-01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BE" w:rsidRDefault="00EB70BE" w:rsidP="00C15633">
    <w:pPr>
      <w:pStyle w:val="Header"/>
      <w:tabs>
        <w:tab w:val="center" w:pos="4763"/>
        <w:tab w:val="left" w:pos="5820"/>
      </w:tabs>
      <w:rPr>
        <w:lang w:eastAsia="ko-KR"/>
      </w:rPr>
    </w:pPr>
    <w:r>
      <w:rPr>
        <w:lang w:eastAsia="ko-KR"/>
      </w:rPr>
      <w:tab/>
    </w:r>
  </w:p>
  <w:p w:rsidR="00EB70BE" w:rsidRDefault="00EB70BE"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497C45"/>
    <w:multiLevelType w:val="hybridMultilevel"/>
    <w:tmpl w:val="85349F4A"/>
    <w:lvl w:ilvl="0" w:tplc="26387F42">
      <w:start w:val="1"/>
      <w:numFmt w:val="bullet"/>
      <w:lvlText w:val="−"/>
      <w:lvlJc w:val="left"/>
      <w:pPr>
        <w:ind w:left="420" w:hanging="420"/>
      </w:pPr>
      <w:rPr>
        <w:rFonts w:ascii="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A8F34F1"/>
    <w:multiLevelType w:val="hybridMultilevel"/>
    <w:tmpl w:val="6A0E2BA2"/>
    <w:lvl w:ilvl="0" w:tplc="6DFCF1DE">
      <w:start w:val="2"/>
      <w:numFmt w:val="bullet"/>
      <w:lvlText w:val="-"/>
      <w:lvlJc w:val="left"/>
      <w:pPr>
        <w:ind w:left="768" w:hanging="420"/>
      </w:pPr>
      <w:rPr>
        <w:rFonts w:ascii="Times New Roman" w:eastAsia="BatangChe" w:hAnsi="Times New Roman" w:cs="Times New Roman" w:hint="default"/>
      </w:rPr>
    </w:lvl>
    <w:lvl w:ilvl="1" w:tplc="04090003" w:tentative="1">
      <w:start w:val="1"/>
      <w:numFmt w:val="bullet"/>
      <w:lvlText w:val=""/>
      <w:lvlJc w:val="left"/>
      <w:pPr>
        <w:ind w:left="1188" w:hanging="420"/>
      </w:pPr>
      <w:rPr>
        <w:rFonts w:ascii="Wingdings" w:hAnsi="Wingdings" w:hint="default"/>
      </w:rPr>
    </w:lvl>
    <w:lvl w:ilvl="2" w:tplc="04090005"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3" w:tentative="1">
      <w:start w:val="1"/>
      <w:numFmt w:val="bullet"/>
      <w:lvlText w:val=""/>
      <w:lvlJc w:val="left"/>
      <w:pPr>
        <w:ind w:left="2448" w:hanging="420"/>
      </w:pPr>
      <w:rPr>
        <w:rFonts w:ascii="Wingdings" w:hAnsi="Wingdings" w:hint="default"/>
      </w:rPr>
    </w:lvl>
    <w:lvl w:ilvl="5" w:tplc="04090005"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3" w:tentative="1">
      <w:start w:val="1"/>
      <w:numFmt w:val="bullet"/>
      <w:lvlText w:val=""/>
      <w:lvlJc w:val="left"/>
      <w:pPr>
        <w:ind w:left="3708" w:hanging="420"/>
      </w:pPr>
      <w:rPr>
        <w:rFonts w:ascii="Wingdings" w:hAnsi="Wingdings" w:hint="default"/>
      </w:rPr>
    </w:lvl>
    <w:lvl w:ilvl="8" w:tplc="04090005" w:tentative="1">
      <w:start w:val="1"/>
      <w:numFmt w:val="bullet"/>
      <w:lvlText w:val=""/>
      <w:lvlJc w:val="left"/>
      <w:pPr>
        <w:ind w:left="4128" w:hanging="420"/>
      </w:pPr>
      <w:rPr>
        <w:rFonts w:ascii="Wingdings" w:hAnsi="Wingdings" w:hint="default"/>
      </w:rPr>
    </w:lvl>
  </w:abstractNum>
  <w:abstractNum w:abstractNumId="13"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4" w15:restartNumberingAfterBreak="0">
    <w:nsid w:val="4B166195"/>
    <w:multiLevelType w:val="hybridMultilevel"/>
    <w:tmpl w:val="CFFC73B2"/>
    <w:lvl w:ilvl="0" w:tplc="26387F4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CF355BA"/>
    <w:multiLevelType w:val="hybridMultilevel"/>
    <w:tmpl w:val="041AA350"/>
    <w:lvl w:ilvl="0" w:tplc="A98CE608">
      <w:start w:val="1"/>
      <w:numFmt w:val="bullet"/>
      <w:lvlText w:val="–"/>
      <w:lvlJc w:val="left"/>
      <w:pPr>
        <w:tabs>
          <w:tab w:val="num" w:pos="720"/>
        </w:tabs>
        <w:ind w:left="720" w:hanging="360"/>
      </w:pPr>
      <w:rPr>
        <w:rFonts w:ascii="Arial" w:hAnsi="Arial" w:hint="default"/>
      </w:rPr>
    </w:lvl>
    <w:lvl w:ilvl="1" w:tplc="75B2B350">
      <w:start w:val="1"/>
      <w:numFmt w:val="bullet"/>
      <w:lvlText w:val="–"/>
      <w:lvlJc w:val="left"/>
      <w:pPr>
        <w:tabs>
          <w:tab w:val="num" w:pos="1440"/>
        </w:tabs>
        <w:ind w:left="1440" w:hanging="360"/>
      </w:pPr>
      <w:rPr>
        <w:rFonts w:ascii="Arial" w:hAnsi="Arial" w:hint="default"/>
      </w:rPr>
    </w:lvl>
    <w:lvl w:ilvl="2" w:tplc="708C1EBA" w:tentative="1">
      <w:start w:val="1"/>
      <w:numFmt w:val="bullet"/>
      <w:lvlText w:val="–"/>
      <w:lvlJc w:val="left"/>
      <w:pPr>
        <w:tabs>
          <w:tab w:val="num" w:pos="2160"/>
        </w:tabs>
        <w:ind w:left="2160" w:hanging="360"/>
      </w:pPr>
      <w:rPr>
        <w:rFonts w:ascii="Arial" w:hAnsi="Arial" w:hint="default"/>
      </w:rPr>
    </w:lvl>
    <w:lvl w:ilvl="3" w:tplc="30FCB21A" w:tentative="1">
      <w:start w:val="1"/>
      <w:numFmt w:val="bullet"/>
      <w:lvlText w:val="–"/>
      <w:lvlJc w:val="left"/>
      <w:pPr>
        <w:tabs>
          <w:tab w:val="num" w:pos="2880"/>
        </w:tabs>
        <w:ind w:left="2880" w:hanging="360"/>
      </w:pPr>
      <w:rPr>
        <w:rFonts w:ascii="Arial" w:hAnsi="Arial" w:hint="default"/>
      </w:rPr>
    </w:lvl>
    <w:lvl w:ilvl="4" w:tplc="4558B8D8" w:tentative="1">
      <w:start w:val="1"/>
      <w:numFmt w:val="bullet"/>
      <w:lvlText w:val="–"/>
      <w:lvlJc w:val="left"/>
      <w:pPr>
        <w:tabs>
          <w:tab w:val="num" w:pos="3600"/>
        </w:tabs>
        <w:ind w:left="3600" w:hanging="360"/>
      </w:pPr>
      <w:rPr>
        <w:rFonts w:ascii="Arial" w:hAnsi="Arial" w:hint="default"/>
      </w:rPr>
    </w:lvl>
    <w:lvl w:ilvl="5" w:tplc="B3AA324A" w:tentative="1">
      <w:start w:val="1"/>
      <w:numFmt w:val="bullet"/>
      <w:lvlText w:val="–"/>
      <w:lvlJc w:val="left"/>
      <w:pPr>
        <w:tabs>
          <w:tab w:val="num" w:pos="4320"/>
        </w:tabs>
        <w:ind w:left="4320" w:hanging="360"/>
      </w:pPr>
      <w:rPr>
        <w:rFonts w:ascii="Arial" w:hAnsi="Arial" w:hint="default"/>
      </w:rPr>
    </w:lvl>
    <w:lvl w:ilvl="6" w:tplc="A9244BB4" w:tentative="1">
      <w:start w:val="1"/>
      <w:numFmt w:val="bullet"/>
      <w:lvlText w:val="–"/>
      <w:lvlJc w:val="left"/>
      <w:pPr>
        <w:tabs>
          <w:tab w:val="num" w:pos="5040"/>
        </w:tabs>
        <w:ind w:left="5040" w:hanging="360"/>
      </w:pPr>
      <w:rPr>
        <w:rFonts w:ascii="Arial" w:hAnsi="Arial" w:hint="default"/>
      </w:rPr>
    </w:lvl>
    <w:lvl w:ilvl="7" w:tplc="C6A09F60" w:tentative="1">
      <w:start w:val="1"/>
      <w:numFmt w:val="bullet"/>
      <w:lvlText w:val="–"/>
      <w:lvlJc w:val="left"/>
      <w:pPr>
        <w:tabs>
          <w:tab w:val="num" w:pos="5760"/>
        </w:tabs>
        <w:ind w:left="5760" w:hanging="360"/>
      </w:pPr>
      <w:rPr>
        <w:rFonts w:ascii="Arial" w:hAnsi="Arial" w:hint="default"/>
      </w:rPr>
    </w:lvl>
    <w:lvl w:ilvl="8" w:tplc="8C424A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F325E2"/>
    <w:multiLevelType w:val="hybridMultilevel"/>
    <w:tmpl w:val="0162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AB1456"/>
    <w:multiLevelType w:val="hybridMultilevel"/>
    <w:tmpl w:val="B7FCD7D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1">
      <w:start w:val="1"/>
      <w:numFmt w:val="bullet"/>
      <w:lvlText w:val=""/>
      <w:lvlJc w:val="left"/>
      <w:pPr>
        <w:ind w:left="1120" w:hanging="400"/>
      </w:pPr>
      <w:rPr>
        <w:rFonts w:ascii="Symbol" w:hAnsi="Symbol"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776F2879"/>
    <w:multiLevelType w:val="hybridMultilevel"/>
    <w:tmpl w:val="C3A41E38"/>
    <w:lvl w:ilvl="0" w:tplc="218EB4EC">
      <w:start w:val="1"/>
      <w:numFmt w:val="bullet"/>
      <w:lvlText w:val="•"/>
      <w:lvlJc w:val="left"/>
      <w:pPr>
        <w:ind w:left="1128" w:hanging="420"/>
      </w:pPr>
      <w:rPr>
        <w:rFonts w:ascii="SimSun" w:eastAsia="SimSun" w:hAnsi="SimSun" w:cs="Times New Roman" w:hint="eastAsia"/>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num>
  <w:num w:numId="2">
    <w:abstractNumId w:val="5"/>
  </w:num>
  <w:num w:numId="3">
    <w:abstractNumId w:val="4"/>
  </w:num>
  <w:num w:numId="4">
    <w:abstractNumId w:val="21"/>
  </w:num>
  <w:num w:numId="5">
    <w:abstractNumId w:val="9"/>
  </w:num>
  <w:num w:numId="6">
    <w:abstractNumId w:val="11"/>
  </w:num>
  <w:num w:numId="7">
    <w:abstractNumId w:val="2"/>
  </w:num>
  <w:num w:numId="8">
    <w:abstractNumId w:val="1"/>
  </w:num>
  <w:num w:numId="9">
    <w:abstractNumId w:val="24"/>
  </w:num>
  <w:num w:numId="10">
    <w:abstractNumId w:val="19"/>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num>
  <w:num w:numId="17">
    <w:abstractNumId w:val="18"/>
  </w:num>
  <w:num w:numId="18">
    <w:abstractNumId w:val="13"/>
  </w:num>
  <w:num w:numId="19">
    <w:abstractNumId w:val="22"/>
  </w:num>
  <w:num w:numId="20">
    <w:abstractNumId w:val="8"/>
  </w:num>
  <w:num w:numId="21">
    <w:abstractNumId w:val="14"/>
  </w:num>
  <w:num w:numId="22">
    <w:abstractNumId w:val="20"/>
  </w:num>
  <w:num w:numId="23">
    <w:abstractNumId w:val="12"/>
  </w:num>
  <w:num w:numId="24">
    <w:abstractNumId w:val="16"/>
  </w:num>
  <w:num w:numId="25">
    <w:abstractNumId w:val="23"/>
  </w:num>
  <w:num w:numId="26">
    <w:abstractNumId w:val="15"/>
  </w:num>
  <w:num w:numId="27">
    <w:abstractNumId w:val="13"/>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6275E"/>
    <w:rsid w:val="00070642"/>
    <w:rsid w:val="000713CF"/>
    <w:rsid w:val="00075C14"/>
    <w:rsid w:val="000822B5"/>
    <w:rsid w:val="0009345B"/>
    <w:rsid w:val="00093FF1"/>
    <w:rsid w:val="00094B87"/>
    <w:rsid w:val="000A012B"/>
    <w:rsid w:val="000A2425"/>
    <w:rsid w:val="000A5418"/>
    <w:rsid w:val="000F345F"/>
    <w:rsid w:val="000F517C"/>
    <w:rsid w:val="000F5540"/>
    <w:rsid w:val="00100122"/>
    <w:rsid w:val="00105F1A"/>
    <w:rsid w:val="001356A9"/>
    <w:rsid w:val="001409B2"/>
    <w:rsid w:val="00152636"/>
    <w:rsid w:val="001539DD"/>
    <w:rsid w:val="00156782"/>
    <w:rsid w:val="001731F4"/>
    <w:rsid w:val="0017461D"/>
    <w:rsid w:val="00196568"/>
    <w:rsid w:val="00197C18"/>
    <w:rsid w:val="001A2F16"/>
    <w:rsid w:val="001B1804"/>
    <w:rsid w:val="001B18C2"/>
    <w:rsid w:val="001C61A5"/>
    <w:rsid w:val="001C6707"/>
    <w:rsid w:val="001D5D7E"/>
    <w:rsid w:val="001F14EC"/>
    <w:rsid w:val="001F4E6F"/>
    <w:rsid w:val="001F5947"/>
    <w:rsid w:val="00202410"/>
    <w:rsid w:val="00214A0C"/>
    <w:rsid w:val="0021588B"/>
    <w:rsid w:val="002216AC"/>
    <w:rsid w:val="002506D2"/>
    <w:rsid w:val="00250DE2"/>
    <w:rsid w:val="00254A1B"/>
    <w:rsid w:val="0026064A"/>
    <w:rsid w:val="0028454D"/>
    <w:rsid w:val="00291C9E"/>
    <w:rsid w:val="002926D4"/>
    <w:rsid w:val="002A54DB"/>
    <w:rsid w:val="002B06A3"/>
    <w:rsid w:val="002B435C"/>
    <w:rsid w:val="002B447F"/>
    <w:rsid w:val="002C07DA"/>
    <w:rsid w:val="002C2CE2"/>
    <w:rsid w:val="002C7EA9"/>
    <w:rsid w:val="002D5807"/>
    <w:rsid w:val="002E0058"/>
    <w:rsid w:val="002F575D"/>
    <w:rsid w:val="0030758D"/>
    <w:rsid w:val="003113D7"/>
    <w:rsid w:val="00342B54"/>
    <w:rsid w:val="00342F20"/>
    <w:rsid w:val="003505AD"/>
    <w:rsid w:val="00360377"/>
    <w:rsid w:val="00366548"/>
    <w:rsid w:val="003809C7"/>
    <w:rsid w:val="0038236C"/>
    <w:rsid w:val="003828AF"/>
    <w:rsid w:val="00393559"/>
    <w:rsid w:val="00395B40"/>
    <w:rsid w:val="003A6568"/>
    <w:rsid w:val="003B6263"/>
    <w:rsid w:val="003C29E6"/>
    <w:rsid w:val="003C64A7"/>
    <w:rsid w:val="003C6B6B"/>
    <w:rsid w:val="003D1671"/>
    <w:rsid w:val="003D3FDA"/>
    <w:rsid w:val="003D6D00"/>
    <w:rsid w:val="003E166F"/>
    <w:rsid w:val="003F26E1"/>
    <w:rsid w:val="004001E5"/>
    <w:rsid w:val="00420822"/>
    <w:rsid w:val="00420C74"/>
    <w:rsid w:val="00430985"/>
    <w:rsid w:val="00442832"/>
    <w:rsid w:val="004465AA"/>
    <w:rsid w:val="00451DE1"/>
    <w:rsid w:val="0045458F"/>
    <w:rsid w:val="00454979"/>
    <w:rsid w:val="004633B4"/>
    <w:rsid w:val="0048218A"/>
    <w:rsid w:val="00490148"/>
    <w:rsid w:val="004A2F96"/>
    <w:rsid w:val="004A4BF4"/>
    <w:rsid w:val="004B3553"/>
    <w:rsid w:val="004B3F4B"/>
    <w:rsid w:val="004C2B37"/>
    <w:rsid w:val="004D08D0"/>
    <w:rsid w:val="004E492B"/>
    <w:rsid w:val="004F1766"/>
    <w:rsid w:val="00503189"/>
    <w:rsid w:val="005226D1"/>
    <w:rsid w:val="00525E53"/>
    <w:rsid w:val="00526D01"/>
    <w:rsid w:val="00530E8C"/>
    <w:rsid w:val="00545933"/>
    <w:rsid w:val="00552105"/>
    <w:rsid w:val="005562F2"/>
    <w:rsid w:val="00557544"/>
    <w:rsid w:val="00563FE8"/>
    <w:rsid w:val="00565BBB"/>
    <w:rsid w:val="00581205"/>
    <w:rsid w:val="00585F3C"/>
    <w:rsid w:val="0058627A"/>
    <w:rsid w:val="00586CA0"/>
    <w:rsid w:val="00587875"/>
    <w:rsid w:val="005A63EB"/>
    <w:rsid w:val="005C0CEB"/>
    <w:rsid w:val="005C1EB7"/>
    <w:rsid w:val="005C33B6"/>
    <w:rsid w:val="005D6202"/>
    <w:rsid w:val="005D6E98"/>
    <w:rsid w:val="005F1D54"/>
    <w:rsid w:val="00607731"/>
    <w:rsid w:val="00607E2B"/>
    <w:rsid w:val="00611397"/>
    <w:rsid w:val="006139D6"/>
    <w:rsid w:val="00616D1B"/>
    <w:rsid w:val="00622631"/>
    <w:rsid w:val="00623CE1"/>
    <w:rsid w:val="0063062B"/>
    <w:rsid w:val="00635322"/>
    <w:rsid w:val="00637351"/>
    <w:rsid w:val="00640B26"/>
    <w:rsid w:val="006455A8"/>
    <w:rsid w:val="00646166"/>
    <w:rsid w:val="00654896"/>
    <w:rsid w:val="006621F0"/>
    <w:rsid w:val="00664146"/>
    <w:rsid w:val="006647BA"/>
    <w:rsid w:val="00667229"/>
    <w:rsid w:val="00680417"/>
    <w:rsid w:val="00682BE5"/>
    <w:rsid w:val="00683D4A"/>
    <w:rsid w:val="00690FED"/>
    <w:rsid w:val="006939A5"/>
    <w:rsid w:val="00693C23"/>
    <w:rsid w:val="00694E6A"/>
    <w:rsid w:val="006A6E98"/>
    <w:rsid w:val="006A7D55"/>
    <w:rsid w:val="006D5223"/>
    <w:rsid w:val="006E0245"/>
    <w:rsid w:val="006E12FC"/>
    <w:rsid w:val="006E27F1"/>
    <w:rsid w:val="006F2B2E"/>
    <w:rsid w:val="006F3CCB"/>
    <w:rsid w:val="00705962"/>
    <w:rsid w:val="00707C21"/>
    <w:rsid w:val="00712247"/>
    <w:rsid w:val="00712451"/>
    <w:rsid w:val="00717DE9"/>
    <w:rsid w:val="0072518B"/>
    <w:rsid w:val="00731041"/>
    <w:rsid w:val="007329E4"/>
    <w:rsid w:val="00732F08"/>
    <w:rsid w:val="007342F0"/>
    <w:rsid w:val="0074190C"/>
    <w:rsid w:val="0074383A"/>
    <w:rsid w:val="0074616D"/>
    <w:rsid w:val="00762576"/>
    <w:rsid w:val="007673CA"/>
    <w:rsid w:val="007764C7"/>
    <w:rsid w:val="00791060"/>
    <w:rsid w:val="007B5626"/>
    <w:rsid w:val="007B6124"/>
    <w:rsid w:val="007D3C53"/>
    <w:rsid w:val="007F2628"/>
    <w:rsid w:val="007F2FBA"/>
    <w:rsid w:val="007F5913"/>
    <w:rsid w:val="00800C3A"/>
    <w:rsid w:val="0080570B"/>
    <w:rsid w:val="008148E1"/>
    <w:rsid w:val="00817B5B"/>
    <w:rsid w:val="00820B86"/>
    <w:rsid w:val="00823391"/>
    <w:rsid w:val="008319BF"/>
    <w:rsid w:val="008433C2"/>
    <w:rsid w:val="00844457"/>
    <w:rsid w:val="008454C8"/>
    <w:rsid w:val="00851D78"/>
    <w:rsid w:val="00875464"/>
    <w:rsid w:val="008A1A0D"/>
    <w:rsid w:val="008A76ED"/>
    <w:rsid w:val="008B3C72"/>
    <w:rsid w:val="008C7B70"/>
    <w:rsid w:val="008D0E09"/>
    <w:rsid w:val="008E79FC"/>
    <w:rsid w:val="00901135"/>
    <w:rsid w:val="00903007"/>
    <w:rsid w:val="00923816"/>
    <w:rsid w:val="0093074B"/>
    <w:rsid w:val="00930E64"/>
    <w:rsid w:val="00950818"/>
    <w:rsid w:val="00953ECD"/>
    <w:rsid w:val="00956F8C"/>
    <w:rsid w:val="00961D57"/>
    <w:rsid w:val="00976716"/>
    <w:rsid w:val="0097693B"/>
    <w:rsid w:val="00993355"/>
    <w:rsid w:val="009963F7"/>
    <w:rsid w:val="009A4A6D"/>
    <w:rsid w:val="009B478F"/>
    <w:rsid w:val="009B6075"/>
    <w:rsid w:val="009C2328"/>
    <w:rsid w:val="009D277E"/>
    <w:rsid w:val="009E13DD"/>
    <w:rsid w:val="00A0503B"/>
    <w:rsid w:val="00A13265"/>
    <w:rsid w:val="00A14900"/>
    <w:rsid w:val="00A2159F"/>
    <w:rsid w:val="00A44A81"/>
    <w:rsid w:val="00A44B4C"/>
    <w:rsid w:val="00A529BC"/>
    <w:rsid w:val="00A5346C"/>
    <w:rsid w:val="00A562F0"/>
    <w:rsid w:val="00A564FB"/>
    <w:rsid w:val="00A614C1"/>
    <w:rsid w:val="00A64F33"/>
    <w:rsid w:val="00A71136"/>
    <w:rsid w:val="00AA474C"/>
    <w:rsid w:val="00AA6862"/>
    <w:rsid w:val="00AC1E69"/>
    <w:rsid w:val="00AC35EF"/>
    <w:rsid w:val="00AD2697"/>
    <w:rsid w:val="00AD7477"/>
    <w:rsid w:val="00AD7E5F"/>
    <w:rsid w:val="00AE3066"/>
    <w:rsid w:val="00AE6B94"/>
    <w:rsid w:val="00AF68E4"/>
    <w:rsid w:val="00B01AA1"/>
    <w:rsid w:val="00B30C81"/>
    <w:rsid w:val="00B313AF"/>
    <w:rsid w:val="00B42674"/>
    <w:rsid w:val="00B4793B"/>
    <w:rsid w:val="00B62E00"/>
    <w:rsid w:val="00B64A60"/>
    <w:rsid w:val="00B83432"/>
    <w:rsid w:val="00B937D7"/>
    <w:rsid w:val="00B96B67"/>
    <w:rsid w:val="00BC52AB"/>
    <w:rsid w:val="00BC57EF"/>
    <w:rsid w:val="00BD26D3"/>
    <w:rsid w:val="00BF076B"/>
    <w:rsid w:val="00BF25F9"/>
    <w:rsid w:val="00C003E6"/>
    <w:rsid w:val="00C032D6"/>
    <w:rsid w:val="00C13FD5"/>
    <w:rsid w:val="00C15633"/>
    <w:rsid w:val="00C15799"/>
    <w:rsid w:val="00C32E84"/>
    <w:rsid w:val="00C35415"/>
    <w:rsid w:val="00C357AD"/>
    <w:rsid w:val="00C408E8"/>
    <w:rsid w:val="00C431DF"/>
    <w:rsid w:val="00C55483"/>
    <w:rsid w:val="00C554CC"/>
    <w:rsid w:val="00C56036"/>
    <w:rsid w:val="00C6069C"/>
    <w:rsid w:val="00C661D1"/>
    <w:rsid w:val="00C74745"/>
    <w:rsid w:val="00C824E8"/>
    <w:rsid w:val="00C85119"/>
    <w:rsid w:val="00C94F08"/>
    <w:rsid w:val="00C95E8B"/>
    <w:rsid w:val="00CA6F96"/>
    <w:rsid w:val="00CD320B"/>
    <w:rsid w:val="00CD3F37"/>
    <w:rsid w:val="00CD5431"/>
    <w:rsid w:val="00CD7085"/>
    <w:rsid w:val="00CD7A43"/>
    <w:rsid w:val="00CE072B"/>
    <w:rsid w:val="00CE4B93"/>
    <w:rsid w:val="00CF2491"/>
    <w:rsid w:val="00CF3963"/>
    <w:rsid w:val="00CF7C02"/>
    <w:rsid w:val="00D1252E"/>
    <w:rsid w:val="00D12DA4"/>
    <w:rsid w:val="00D13D9D"/>
    <w:rsid w:val="00D20653"/>
    <w:rsid w:val="00D459A2"/>
    <w:rsid w:val="00D530FF"/>
    <w:rsid w:val="00D53688"/>
    <w:rsid w:val="00D5407A"/>
    <w:rsid w:val="00D57772"/>
    <w:rsid w:val="00D63151"/>
    <w:rsid w:val="00D72AE3"/>
    <w:rsid w:val="00D75A4D"/>
    <w:rsid w:val="00D8478B"/>
    <w:rsid w:val="00D86151"/>
    <w:rsid w:val="00D9172D"/>
    <w:rsid w:val="00DA7595"/>
    <w:rsid w:val="00DB0A68"/>
    <w:rsid w:val="00DC43A3"/>
    <w:rsid w:val="00DC4CF3"/>
    <w:rsid w:val="00DC5C01"/>
    <w:rsid w:val="00DD7C09"/>
    <w:rsid w:val="00DF1786"/>
    <w:rsid w:val="00E0124F"/>
    <w:rsid w:val="00E239ED"/>
    <w:rsid w:val="00E34623"/>
    <w:rsid w:val="00E34AA7"/>
    <w:rsid w:val="00E34FF4"/>
    <w:rsid w:val="00E456F4"/>
    <w:rsid w:val="00E674D3"/>
    <w:rsid w:val="00E7045A"/>
    <w:rsid w:val="00E70FD0"/>
    <w:rsid w:val="00E756B7"/>
    <w:rsid w:val="00E77C4B"/>
    <w:rsid w:val="00E9301F"/>
    <w:rsid w:val="00E9690A"/>
    <w:rsid w:val="00E97DC7"/>
    <w:rsid w:val="00EB70BE"/>
    <w:rsid w:val="00EE24DE"/>
    <w:rsid w:val="00EF40A9"/>
    <w:rsid w:val="00F000EF"/>
    <w:rsid w:val="00F13C81"/>
    <w:rsid w:val="00F2504E"/>
    <w:rsid w:val="00F2585B"/>
    <w:rsid w:val="00F27B27"/>
    <w:rsid w:val="00F377D0"/>
    <w:rsid w:val="00F4053F"/>
    <w:rsid w:val="00F516E7"/>
    <w:rsid w:val="00F57BF7"/>
    <w:rsid w:val="00F6263E"/>
    <w:rsid w:val="00F627C2"/>
    <w:rsid w:val="00F65E7C"/>
    <w:rsid w:val="00F84067"/>
    <w:rsid w:val="00FA50B4"/>
    <w:rsid w:val="00FB259D"/>
    <w:rsid w:val="00FC156A"/>
    <w:rsid w:val="00FD6235"/>
    <w:rsid w:val="00FE17A6"/>
    <w:rsid w:val="00FE3DE5"/>
    <w:rsid w:val="00FF0B5D"/>
    <w:rsid w:val="00FF2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customStyle="1" w:styleId="enumlev1">
    <w:name w:val="enumlev1"/>
    <w:basedOn w:val="Normal"/>
    <w:link w:val="enumlev1Char"/>
    <w:rsid w:val="00A64F33"/>
    <w:pPr>
      <w:tabs>
        <w:tab w:val="left" w:pos="1134"/>
        <w:tab w:val="left" w:pos="1871"/>
        <w:tab w:val="left" w:pos="2608"/>
        <w:tab w:val="left" w:pos="3345"/>
      </w:tabs>
      <w:overflowPunct w:val="0"/>
      <w:autoSpaceDE w:val="0"/>
      <w:autoSpaceDN w:val="0"/>
      <w:adjustRightInd w:val="0"/>
      <w:spacing w:before="80"/>
      <w:ind w:left="1134" w:hanging="1134"/>
      <w:jc w:val="both"/>
      <w:textAlignment w:val="baseline"/>
    </w:pPr>
    <w:rPr>
      <w:rFonts w:eastAsiaTheme="minorEastAsia"/>
      <w:szCs w:val="20"/>
      <w:lang w:val="en-GB"/>
    </w:rPr>
  </w:style>
  <w:style w:type="character" w:customStyle="1" w:styleId="enumlev1Char">
    <w:name w:val="enumlev1 Char"/>
    <w:basedOn w:val="DefaultParagraphFont"/>
    <w:link w:val="enumlev1"/>
    <w:locked/>
    <w:rsid w:val="00A64F33"/>
    <w:rPr>
      <w:rFonts w:eastAsiaTheme="minorEastAsia"/>
      <w:sz w:val="24"/>
      <w:lang w:val="en-GB"/>
    </w:rPr>
  </w:style>
  <w:style w:type="character" w:customStyle="1" w:styleId="ListParagraphChar">
    <w:name w:val="List Paragraph Char"/>
    <w:link w:val="ListParagraph"/>
    <w:uiPriority w:val="34"/>
    <w:locked/>
    <w:rsid w:val="00BD26D3"/>
    <w:rPr>
      <w:rFonts w:eastAsia="BatangChe"/>
      <w:sz w:val="24"/>
      <w:szCs w:val="24"/>
    </w:rPr>
  </w:style>
  <w:style w:type="character" w:customStyle="1" w:styleId="FooterChar">
    <w:name w:val="Footer Char"/>
    <w:basedOn w:val="DefaultParagraphFont"/>
    <w:link w:val="Footer"/>
    <w:rsid w:val="00953ECD"/>
    <w:rPr>
      <w:rFonts w:eastAsia="BatangChe"/>
      <w:sz w:val="24"/>
      <w:szCs w:val="24"/>
    </w:rPr>
  </w:style>
  <w:style w:type="table" w:styleId="TableGrid">
    <w:name w:val="Table Grid"/>
    <w:basedOn w:val="TableNormal"/>
    <w:uiPriority w:val="59"/>
    <w:rsid w:val="0095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4748">
      <w:bodyDiv w:val="1"/>
      <w:marLeft w:val="0"/>
      <w:marRight w:val="0"/>
      <w:marTop w:val="0"/>
      <w:marBottom w:val="0"/>
      <w:divBdr>
        <w:top w:val="none" w:sz="0" w:space="0" w:color="auto"/>
        <w:left w:val="none" w:sz="0" w:space="0" w:color="auto"/>
        <w:bottom w:val="none" w:sz="0" w:space="0" w:color="auto"/>
        <w:right w:val="none" w:sz="0" w:space="0" w:color="auto"/>
      </w:divBdr>
    </w:div>
    <w:div w:id="172763278">
      <w:bodyDiv w:val="1"/>
      <w:marLeft w:val="0"/>
      <w:marRight w:val="0"/>
      <w:marTop w:val="0"/>
      <w:marBottom w:val="0"/>
      <w:divBdr>
        <w:top w:val="none" w:sz="0" w:space="0" w:color="auto"/>
        <w:left w:val="none" w:sz="0" w:space="0" w:color="auto"/>
        <w:bottom w:val="none" w:sz="0" w:space="0" w:color="auto"/>
        <w:right w:val="none" w:sz="0" w:space="0" w:color="auto"/>
      </w:divBdr>
    </w:div>
    <w:div w:id="183177185">
      <w:bodyDiv w:val="1"/>
      <w:marLeft w:val="0"/>
      <w:marRight w:val="0"/>
      <w:marTop w:val="0"/>
      <w:marBottom w:val="0"/>
      <w:divBdr>
        <w:top w:val="none" w:sz="0" w:space="0" w:color="auto"/>
        <w:left w:val="none" w:sz="0" w:space="0" w:color="auto"/>
        <w:bottom w:val="none" w:sz="0" w:space="0" w:color="auto"/>
        <w:right w:val="none" w:sz="0" w:space="0" w:color="auto"/>
      </w:divBdr>
    </w:div>
    <w:div w:id="245916694">
      <w:bodyDiv w:val="1"/>
      <w:marLeft w:val="0"/>
      <w:marRight w:val="0"/>
      <w:marTop w:val="0"/>
      <w:marBottom w:val="0"/>
      <w:divBdr>
        <w:top w:val="none" w:sz="0" w:space="0" w:color="auto"/>
        <w:left w:val="none" w:sz="0" w:space="0" w:color="auto"/>
        <w:bottom w:val="none" w:sz="0" w:space="0" w:color="auto"/>
        <w:right w:val="none" w:sz="0" w:space="0" w:color="auto"/>
      </w:divBdr>
    </w:div>
    <w:div w:id="252009500">
      <w:bodyDiv w:val="1"/>
      <w:marLeft w:val="0"/>
      <w:marRight w:val="0"/>
      <w:marTop w:val="0"/>
      <w:marBottom w:val="0"/>
      <w:divBdr>
        <w:top w:val="none" w:sz="0" w:space="0" w:color="auto"/>
        <w:left w:val="none" w:sz="0" w:space="0" w:color="auto"/>
        <w:bottom w:val="none" w:sz="0" w:space="0" w:color="auto"/>
        <w:right w:val="none" w:sz="0" w:space="0" w:color="auto"/>
      </w:divBdr>
    </w:div>
    <w:div w:id="278949309">
      <w:bodyDiv w:val="1"/>
      <w:marLeft w:val="0"/>
      <w:marRight w:val="0"/>
      <w:marTop w:val="0"/>
      <w:marBottom w:val="0"/>
      <w:divBdr>
        <w:top w:val="none" w:sz="0" w:space="0" w:color="auto"/>
        <w:left w:val="none" w:sz="0" w:space="0" w:color="auto"/>
        <w:bottom w:val="none" w:sz="0" w:space="0" w:color="auto"/>
        <w:right w:val="none" w:sz="0" w:space="0" w:color="auto"/>
      </w:divBdr>
    </w:div>
    <w:div w:id="306279875">
      <w:bodyDiv w:val="1"/>
      <w:marLeft w:val="0"/>
      <w:marRight w:val="0"/>
      <w:marTop w:val="0"/>
      <w:marBottom w:val="0"/>
      <w:divBdr>
        <w:top w:val="none" w:sz="0" w:space="0" w:color="auto"/>
        <w:left w:val="none" w:sz="0" w:space="0" w:color="auto"/>
        <w:bottom w:val="none" w:sz="0" w:space="0" w:color="auto"/>
        <w:right w:val="none" w:sz="0" w:space="0" w:color="auto"/>
      </w:divBdr>
    </w:div>
    <w:div w:id="371419998">
      <w:bodyDiv w:val="1"/>
      <w:marLeft w:val="0"/>
      <w:marRight w:val="0"/>
      <w:marTop w:val="0"/>
      <w:marBottom w:val="0"/>
      <w:divBdr>
        <w:top w:val="none" w:sz="0" w:space="0" w:color="auto"/>
        <w:left w:val="none" w:sz="0" w:space="0" w:color="auto"/>
        <w:bottom w:val="none" w:sz="0" w:space="0" w:color="auto"/>
        <w:right w:val="none" w:sz="0" w:space="0" w:color="auto"/>
      </w:divBdr>
    </w:div>
    <w:div w:id="416446548">
      <w:bodyDiv w:val="1"/>
      <w:marLeft w:val="0"/>
      <w:marRight w:val="0"/>
      <w:marTop w:val="0"/>
      <w:marBottom w:val="0"/>
      <w:divBdr>
        <w:top w:val="none" w:sz="0" w:space="0" w:color="auto"/>
        <w:left w:val="none" w:sz="0" w:space="0" w:color="auto"/>
        <w:bottom w:val="none" w:sz="0" w:space="0" w:color="auto"/>
        <w:right w:val="none" w:sz="0" w:space="0" w:color="auto"/>
      </w:divBdr>
    </w:div>
    <w:div w:id="567037844">
      <w:bodyDiv w:val="1"/>
      <w:marLeft w:val="0"/>
      <w:marRight w:val="0"/>
      <w:marTop w:val="0"/>
      <w:marBottom w:val="0"/>
      <w:divBdr>
        <w:top w:val="none" w:sz="0" w:space="0" w:color="auto"/>
        <w:left w:val="none" w:sz="0" w:space="0" w:color="auto"/>
        <w:bottom w:val="none" w:sz="0" w:space="0" w:color="auto"/>
        <w:right w:val="none" w:sz="0" w:space="0" w:color="auto"/>
      </w:divBdr>
      <w:divsChild>
        <w:div w:id="641229786">
          <w:marLeft w:val="1166"/>
          <w:marRight w:val="0"/>
          <w:marTop w:val="115"/>
          <w:marBottom w:val="0"/>
          <w:divBdr>
            <w:top w:val="none" w:sz="0" w:space="0" w:color="auto"/>
            <w:left w:val="none" w:sz="0" w:space="0" w:color="auto"/>
            <w:bottom w:val="none" w:sz="0" w:space="0" w:color="auto"/>
            <w:right w:val="none" w:sz="0" w:space="0" w:color="auto"/>
          </w:divBdr>
        </w:div>
        <w:div w:id="1794052448">
          <w:marLeft w:val="1166"/>
          <w:marRight w:val="0"/>
          <w:marTop w:val="115"/>
          <w:marBottom w:val="0"/>
          <w:divBdr>
            <w:top w:val="none" w:sz="0" w:space="0" w:color="auto"/>
            <w:left w:val="none" w:sz="0" w:space="0" w:color="auto"/>
            <w:bottom w:val="none" w:sz="0" w:space="0" w:color="auto"/>
            <w:right w:val="none" w:sz="0" w:space="0" w:color="auto"/>
          </w:divBdr>
        </w:div>
        <w:div w:id="1698120382">
          <w:marLeft w:val="1166"/>
          <w:marRight w:val="0"/>
          <w:marTop w:val="115"/>
          <w:marBottom w:val="0"/>
          <w:divBdr>
            <w:top w:val="none" w:sz="0" w:space="0" w:color="auto"/>
            <w:left w:val="none" w:sz="0" w:space="0" w:color="auto"/>
            <w:bottom w:val="none" w:sz="0" w:space="0" w:color="auto"/>
            <w:right w:val="none" w:sz="0" w:space="0" w:color="auto"/>
          </w:divBdr>
        </w:div>
      </w:divsChild>
    </w:div>
    <w:div w:id="786389472">
      <w:bodyDiv w:val="1"/>
      <w:marLeft w:val="0"/>
      <w:marRight w:val="0"/>
      <w:marTop w:val="0"/>
      <w:marBottom w:val="0"/>
      <w:divBdr>
        <w:top w:val="none" w:sz="0" w:space="0" w:color="auto"/>
        <w:left w:val="none" w:sz="0" w:space="0" w:color="auto"/>
        <w:bottom w:val="none" w:sz="0" w:space="0" w:color="auto"/>
        <w:right w:val="none" w:sz="0" w:space="0" w:color="auto"/>
      </w:divBdr>
    </w:div>
    <w:div w:id="922950907">
      <w:bodyDiv w:val="1"/>
      <w:marLeft w:val="0"/>
      <w:marRight w:val="0"/>
      <w:marTop w:val="0"/>
      <w:marBottom w:val="0"/>
      <w:divBdr>
        <w:top w:val="none" w:sz="0" w:space="0" w:color="auto"/>
        <w:left w:val="none" w:sz="0" w:space="0" w:color="auto"/>
        <w:bottom w:val="none" w:sz="0" w:space="0" w:color="auto"/>
        <w:right w:val="none" w:sz="0" w:space="0" w:color="auto"/>
      </w:divBdr>
    </w:div>
    <w:div w:id="983436566">
      <w:bodyDiv w:val="1"/>
      <w:marLeft w:val="0"/>
      <w:marRight w:val="0"/>
      <w:marTop w:val="0"/>
      <w:marBottom w:val="0"/>
      <w:divBdr>
        <w:top w:val="none" w:sz="0" w:space="0" w:color="auto"/>
        <w:left w:val="none" w:sz="0" w:space="0" w:color="auto"/>
        <w:bottom w:val="none" w:sz="0" w:space="0" w:color="auto"/>
        <w:right w:val="none" w:sz="0" w:space="0" w:color="auto"/>
      </w:divBdr>
    </w:div>
    <w:div w:id="1016267995">
      <w:bodyDiv w:val="1"/>
      <w:marLeft w:val="0"/>
      <w:marRight w:val="0"/>
      <w:marTop w:val="0"/>
      <w:marBottom w:val="0"/>
      <w:divBdr>
        <w:top w:val="none" w:sz="0" w:space="0" w:color="auto"/>
        <w:left w:val="none" w:sz="0" w:space="0" w:color="auto"/>
        <w:bottom w:val="none" w:sz="0" w:space="0" w:color="auto"/>
        <w:right w:val="none" w:sz="0" w:space="0" w:color="auto"/>
      </w:divBdr>
    </w:div>
    <w:div w:id="1047296765">
      <w:bodyDiv w:val="1"/>
      <w:marLeft w:val="0"/>
      <w:marRight w:val="0"/>
      <w:marTop w:val="0"/>
      <w:marBottom w:val="0"/>
      <w:divBdr>
        <w:top w:val="none" w:sz="0" w:space="0" w:color="auto"/>
        <w:left w:val="none" w:sz="0" w:space="0" w:color="auto"/>
        <w:bottom w:val="none" w:sz="0" w:space="0" w:color="auto"/>
        <w:right w:val="none" w:sz="0" w:space="0" w:color="auto"/>
      </w:divBdr>
    </w:div>
    <w:div w:id="1081869883">
      <w:bodyDiv w:val="1"/>
      <w:marLeft w:val="0"/>
      <w:marRight w:val="0"/>
      <w:marTop w:val="0"/>
      <w:marBottom w:val="0"/>
      <w:divBdr>
        <w:top w:val="none" w:sz="0" w:space="0" w:color="auto"/>
        <w:left w:val="none" w:sz="0" w:space="0" w:color="auto"/>
        <w:bottom w:val="none" w:sz="0" w:space="0" w:color="auto"/>
        <w:right w:val="none" w:sz="0" w:space="0" w:color="auto"/>
      </w:divBdr>
    </w:div>
    <w:div w:id="1102336417">
      <w:bodyDiv w:val="1"/>
      <w:marLeft w:val="0"/>
      <w:marRight w:val="0"/>
      <w:marTop w:val="0"/>
      <w:marBottom w:val="0"/>
      <w:divBdr>
        <w:top w:val="none" w:sz="0" w:space="0" w:color="auto"/>
        <w:left w:val="none" w:sz="0" w:space="0" w:color="auto"/>
        <w:bottom w:val="none" w:sz="0" w:space="0" w:color="auto"/>
        <w:right w:val="none" w:sz="0" w:space="0" w:color="auto"/>
      </w:divBdr>
    </w:div>
    <w:div w:id="145281859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56">
      <w:bodyDiv w:val="1"/>
      <w:marLeft w:val="0"/>
      <w:marRight w:val="0"/>
      <w:marTop w:val="0"/>
      <w:marBottom w:val="0"/>
      <w:divBdr>
        <w:top w:val="none" w:sz="0" w:space="0" w:color="auto"/>
        <w:left w:val="none" w:sz="0" w:space="0" w:color="auto"/>
        <w:bottom w:val="none" w:sz="0" w:space="0" w:color="auto"/>
        <w:right w:val="none" w:sz="0" w:space="0" w:color="auto"/>
      </w:divBdr>
    </w:div>
    <w:div w:id="1913155874">
      <w:bodyDiv w:val="1"/>
      <w:marLeft w:val="0"/>
      <w:marRight w:val="0"/>
      <w:marTop w:val="0"/>
      <w:marBottom w:val="0"/>
      <w:divBdr>
        <w:top w:val="none" w:sz="0" w:space="0" w:color="auto"/>
        <w:left w:val="none" w:sz="0" w:space="0" w:color="auto"/>
        <w:bottom w:val="none" w:sz="0" w:space="0" w:color="auto"/>
        <w:right w:val="none" w:sz="0" w:space="0" w:color="auto"/>
      </w:divBdr>
    </w:div>
    <w:div w:id="20668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kyungmee5@korea.k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t.int/sites/default/files/2018/03/APG19-3-OUT-01_Meeting_Report_Adhoc_Plenar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28CC-200E-4483-A5B0-20719ECD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1418</Words>
  <Characters>8086</Characters>
  <Application>Microsoft Office Word</Application>
  <DocSecurity>0</DocSecurity>
  <Lines>67</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5</cp:revision>
  <cp:lastPrinted>2015-02-02T07:28:00Z</cp:lastPrinted>
  <dcterms:created xsi:type="dcterms:W3CDTF">2018-03-16T05:21:00Z</dcterms:created>
  <dcterms:modified xsi:type="dcterms:W3CDTF">2018-03-20T02:26:00Z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C:\Users\user\Documents\김경미\WRC-19\APG19-3\WP 2\temp from DG\Draft tmp-9.1.5REV1.docx</vt:lpwstr>
  </property>
</Properties>
</file>