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1B2" w:rsidRPr="00891D0B" w14:paraId="106EF217" w14:textId="77777777" w:rsidTr="00214505">
        <w:trPr>
          <w:cantSplit/>
          <w:trHeight w:val="288"/>
        </w:trPr>
        <w:tc>
          <w:tcPr>
            <w:tcW w:w="1399" w:type="dxa"/>
            <w:vMerge w:val="restart"/>
          </w:tcPr>
          <w:p w14:paraId="1D2B8199" w14:textId="77777777" w:rsidR="00C511B2" w:rsidRPr="00891D0B" w:rsidRDefault="00C511B2" w:rsidP="0021450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7D646D07" wp14:editId="10B7A227">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9177DC3" w14:textId="77777777" w:rsidR="00C511B2" w:rsidRPr="00891D0B" w:rsidRDefault="00C511B2" w:rsidP="00214505">
            <w:pPr>
              <w:spacing w:before="40"/>
              <w:rPr>
                <w:sz w:val="22"/>
                <w:szCs w:val="22"/>
              </w:rPr>
            </w:pPr>
            <w:r w:rsidRPr="00891D0B">
              <w:rPr>
                <w:sz w:val="22"/>
                <w:szCs w:val="22"/>
              </w:rPr>
              <w:t>ASIA-PACIFIC TELECOMMUNITY</w:t>
            </w:r>
          </w:p>
        </w:tc>
        <w:tc>
          <w:tcPr>
            <w:tcW w:w="2160" w:type="dxa"/>
          </w:tcPr>
          <w:p w14:paraId="054057A4" w14:textId="77777777" w:rsidR="00C511B2" w:rsidRPr="00891D0B" w:rsidRDefault="00C511B2" w:rsidP="00214505">
            <w:pPr>
              <w:pStyle w:val="Heading8"/>
              <w:spacing w:before="40"/>
              <w:rPr>
                <w:sz w:val="24"/>
                <w:szCs w:val="24"/>
              </w:rPr>
            </w:pPr>
            <w:r>
              <w:rPr>
                <w:sz w:val="24"/>
                <w:szCs w:val="24"/>
              </w:rPr>
              <w:t>Document No:</w:t>
            </w:r>
          </w:p>
        </w:tc>
      </w:tr>
      <w:tr w:rsidR="00C511B2" w:rsidRPr="00C15799" w14:paraId="5AF11CAA" w14:textId="77777777" w:rsidTr="00214505">
        <w:trPr>
          <w:cantSplit/>
          <w:trHeight w:val="504"/>
        </w:trPr>
        <w:tc>
          <w:tcPr>
            <w:tcW w:w="1399" w:type="dxa"/>
            <w:vMerge/>
          </w:tcPr>
          <w:p w14:paraId="0B4A2916" w14:textId="77777777" w:rsidR="00C511B2" w:rsidRPr="00891D0B" w:rsidRDefault="00C511B2" w:rsidP="00214505"/>
        </w:tc>
        <w:tc>
          <w:tcPr>
            <w:tcW w:w="5760" w:type="dxa"/>
            <w:vAlign w:val="center"/>
          </w:tcPr>
          <w:p w14:paraId="3716E478" w14:textId="77777777" w:rsidR="00C511B2" w:rsidRDefault="00C511B2" w:rsidP="00214505">
            <w:pPr>
              <w:spacing w:before="40"/>
              <w:rPr>
                <w:b/>
              </w:rPr>
            </w:pPr>
            <w:r>
              <w:rPr>
                <w:b/>
              </w:rPr>
              <w:t>The 4th Meeting of the APT Conference Preparatory</w:t>
            </w:r>
          </w:p>
          <w:p w14:paraId="0447A145" w14:textId="77777777" w:rsidR="00C511B2" w:rsidRPr="00891D0B" w:rsidRDefault="00C511B2" w:rsidP="00214505">
            <w:pPr>
              <w:spacing w:line="0" w:lineRule="atLeast"/>
            </w:pPr>
            <w:r>
              <w:rPr>
                <w:b/>
              </w:rPr>
              <w:t>Group for WRC-19 (APG19-4)</w:t>
            </w:r>
          </w:p>
        </w:tc>
        <w:tc>
          <w:tcPr>
            <w:tcW w:w="2160" w:type="dxa"/>
          </w:tcPr>
          <w:p w14:paraId="4B028718" w14:textId="03A510A4" w:rsidR="00C511B2" w:rsidRDefault="00C511B2" w:rsidP="00214505">
            <w:pPr>
              <w:spacing w:before="40"/>
              <w:rPr>
                <w:b/>
                <w:bCs/>
                <w:lang w:val="fr-FR"/>
              </w:rPr>
            </w:pPr>
            <w:r w:rsidRPr="00C96104">
              <w:rPr>
                <w:b/>
                <w:bCs/>
                <w:lang w:val="fr-FR"/>
              </w:rPr>
              <w:t>AP</w:t>
            </w:r>
            <w:r>
              <w:rPr>
                <w:b/>
                <w:bCs/>
                <w:lang w:val="fr-FR"/>
              </w:rPr>
              <w:t>G19-4/OUT-06</w:t>
            </w:r>
          </w:p>
          <w:p w14:paraId="3B0571F2" w14:textId="77777777" w:rsidR="00C511B2" w:rsidRPr="007E1FDD" w:rsidRDefault="00C511B2" w:rsidP="00214505">
            <w:pPr>
              <w:rPr>
                <w:b/>
                <w:bCs/>
                <w:lang w:val="en-GB"/>
              </w:rPr>
            </w:pPr>
          </w:p>
        </w:tc>
      </w:tr>
      <w:tr w:rsidR="00C511B2" w:rsidRPr="00891D0B" w14:paraId="59F093D6" w14:textId="77777777" w:rsidTr="00214505">
        <w:trPr>
          <w:cantSplit/>
          <w:trHeight w:val="288"/>
        </w:trPr>
        <w:tc>
          <w:tcPr>
            <w:tcW w:w="1399" w:type="dxa"/>
            <w:vMerge/>
          </w:tcPr>
          <w:p w14:paraId="6EE59819" w14:textId="77777777" w:rsidR="00C511B2" w:rsidRPr="007E1FDD" w:rsidRDefault="00C511B2" w:rsidP="00214505">
            <w:pPr>
              <w:rPr>
                <w:lang w:val="en-GB"/>
              </w:rPr>
            </w:pPr>
          </w:p>
        </w:tc>
        <w:tc>
          <w:tcPr>
            <w:tcW w:w="5760" w:type="dxa"/>
            <w:vAlign w:val="bottom"/>
          </w:tcPr>
          <w:p w14:paraId="7908D7F6" w14:textId="77777777" w:rsidR="00C511B2" w:rsidRPr="00712451" w:rsidRDefault="00C511B2" w:rsidP="00214505">
            <w:pPr>
              <w:spacing w:before="40"/>
              <w:rPr>
                <w:b/>
              </w:rPr>
            </w:pPr>
            <w:r>
              <w:t>7 – 12 January 2019</w:t>
            </w:r>
            <w:r w:rsidRPr="00891D0B">
              <w:t xml:space="preserve">, </w:t>
            </w:r>
            <w:r>
              <w:t>Busan, Republic of Korea</w:t>
            </w:r>
          </w:p>
        </w:tc>
        <w:tc>
          <w:tcPr>
            <w:tcW w:w="2160" w:type="dxa"/>
            <w:vAlign w:val="bottom"/>
          </w:tcPr>
          <w:p w14:paraId="6351F353" w14:textId="77777777" w:rsidR="00C511B2" w:rsidRPr="007E1FDD" w:rsidRDefault="00C511B2" w:rsidP="00214505">
            <w:pPr>
              <w:spacing w:before="40"/>
              <w:rPr>
                <w:bCs/>
              </w:rPr>
            </w:pPr>
            <w:r>
              <w:rPr>
                <w:bCs/>
              </w:rPr>
              <w:t xml:space="preserve">12 January </w:t>
            </w:r>
            <w:r w:rsidRPr="007E1FDD">
              <w:rPr>
                <w:bCs/>
              </w:rPr>
              <w:t>201</w:t>
            </w:r>
            <w:r>
              <w:rPr>
                <w:bCs/>
              </w:rPr>
              <w:t>9</w:t>
            </w:r>
          </w:p>
        </w:tc>
      </w:tr>
    </w:tbl>
    <w:p w14:paraId="2E0E673C" w14:textId="77777777" w:rsidR="00D13D9D" w:rsidRDefault="00D13D9D" w:rsidP="00DA7595">
      <w:pPr>
        <w:rPr>
          <w:lang w:val="en-NZ" w:eastAsia="ko-KR"/>
        </w:rPr>
      </w:pPr>
    </w:p>
    <w:p w14:paraId="6FD46857" w14:textId="77777777" w:rsidR="00C511B2" w:rsidRPr="00441526" w:rsidRDefault="00C511B2" w:rsidP="00DA7595">
      <w:pPr>
        <w:rPr>
          <w:lang w:val="en-NZ" w:eastAsia="ko-KR"/>
        </w:rPr>
      </w:pPr>
    </w:p>
    <w:p w14:paraId="7DE0A182" w14:textId="271CFD33" w:rsidR="00311E8A" w:rsidRPr="002F0769" w:rsidRDefault="002F0769" w:rsidP="0072518B">
      <w:pPr>
        <w:jc w:val="center"/>
        <w:rPr>
          <w:lang w:val="en-NZ"/>
        </w:rPr>
      </w:pPr>
      <w:r w:rsidRPr="002F0769">
        <w:rPr>
          <w:lang w:val="en-NZ"/>
        </w:rPr>
        <w:t>Working Party 5</w:t>
      </w:r>
    </w:p>
    <w:p w14:paraId="2E0E6745" w14:textId="77777777" w:rsidR="00B64A60" w:rsidRPr="00441526" w:rsidRDefault="00B64A60" w:rsidP="00B64A60">
      <w:pPr>
        <w:jc w:val="center"/>
        <w:rPr>
          <w:b/>
          <w:bCs/>
          <w:caps/>
          <w:lang w:val="en-NZ"/>
        </w:rPr>
      </w:pPr>
    </w:p>
    <w:p w14:paraId="2E0E6746" w14:textId="35CFD2F7" w:rsidR="00B64A60" w:rsidRPr="00441526" w:rsidRDefault="00B64A60" w:rsidP="00B64A60">
      <w:pPr>
        <w:jc w:val="center"/>
        <w:rPr>
          <w:b/>
          <w:bCs/>
          <w:caps/>
          <w:lang w:val="en-NZ"/>
        </w:rPr>
      </w:pPr>
      <w:r w:rsidRPr="00441526">
        <w:rPr>
          <w:b/>
          <w:bCs/>
          <w:caps/>
          <w:lang w:val="en-NZ"/>
        </w:rPr>
        <w:t xml:space="preserve">PRELIMINARY </w:t>
      </w:r>
      <w:r w:rsidR="003679D3">
        <w:rPr>
          <w:b/>
          <w:bCs/>
          <w:caps/>
          <w:lang w:val="en-NZ"/>
        </w:rPr>
        <w:t>VIEWs on WRC-19 agenda item 1.1</w:t>
      </w:r>
    </w:p>
    <w:p w14:paraId="2E0E6747" w14:textId="77777777" w:rsidR="00B64A60" w:rsidRDefault="00B64A60" w:rsidP="00264566">
      <w:pPr>
        <w:spacing w:after="120"/>
        <w:rPr>
          <w:lang w:val="en-NZ"/>
        </w:rPr>
      </w:pPr>
    </w:p>
    <w:p w14:paraId="6E7C26DC" w14:textId="77777777" w:rsidR="00C511B2" w:rsidRPr="00441526" w:rsidRDefault="00C511B2" w:rsidP="00264566">
      <w:pPr>
        <w:spacing w:after="120"/>
        <w:rPr>
          <w:lang w:val="en-NZ"/>
        </w:rPr>
      </w:pPr>
    </w:p>
    <w:p w14:paraId="2E0E6748" w14:textId="5BCD84E6" w:rsidR="00B64A60" w:rsidRPr="00441526" w:rsidRDefault="003679D3" w:rsidP="00264566">
      <w:pPr>
        <w:spacing w:after="120"/>
        <w:jc w:val="both"/>
        <w:rPr>
          <w:lang w:val="en-NZ"/>
        </w:rPr>
      </w:pPr>
      <w:r>
        <w:rPr>
          <w:b/>
          <w:lang w:val="en-NZ"/>
        </w:rPr>
        <w:t>Agenda Item 1.1</w:t>
      </w:r>
      <w:r w:rsidR="00B64A60" w:rsidRPr="00441526">
        <w:rPr>
          <w:b/>
          <w:lang w:val="en-NZ"/>
        </w:rPr>
        <w:t xml:space="preserve">: </w:t>
      </w:r>
    </w:p>
    <w:p w14:paraId="79B36A00" w14:textId="77777777" w:rsidR="00AF7685" w:rsidRDefault="00AF7685" w:rsidP="00AF7685">
      <w:pPr>
        <w:spacing w:after="100" w:afterAutospacing="1"/>
        <w:rPr>
          <w:rFonts w:eastAsiaTheme="minorEastAsia"/>
          <w:b/>
          <w:i/>
          <w:lang w:bidi="en-US"/>
        </w:rPr>
      </w:pPr>
      <w:proofErr w:type="gramStart"/>
      <w:r>
        <w:rPr>
          <w:rFonts w:eastAsiaTheme="minorEastAsia"/>
          <w:i/>
          <w:lang w:bidi="en-US"/>
        </w:rPr>
        <w:t>to</w:t>
      </w:r>
      <w:proofErr w:type="gramEnd"/>
      <w:r>
        <w:rPr>
          <w:rFonts w:eastAsiaTheme="minorEastAsia"/>
          <w:i/>
          <w:lang w:bidi="en-US"/>
        </w:rPr>
        <w:t xml:space="preserve"> consider an allocation of the frequency band 50-54 MHz to the amateur service in Region 1, in accordance with Resolution </w:t>
      </w:r>
      <w:r>
        <w:rPr>
          <w:rFonts w:eastAsiaTheme="minorEastAsia"/>
          <w:b/>
          <w:i/>
          <w:lang w:bidi="en-US"/>
        </w:rPr>
        <w:t>658 (WRC</w:t>
      </w:r>
      <w:r>
        <w:rPr>
          <w:rFonts w:eastAsiaTheme="minorEastAsia"/>
          <w:b/>
          <w:i/>
          <w:lang w:bidi="en-US"/>
        </w:rPr>
        <w:noBreakHyphen/>
        <w:t>15)</w:t>
      </w:r>
    </w:p>
    <w:p w14:paraId="2E0E674B" w14:textId="0B9C1E33" w:rsidR="00B64A60" w:rsidRPr="00441526" w:rsidRDefault="00B64A60" w:rsidP="00F030B5">
      <w:pPr>
        <w:jc w:val="both"/>
        <w:rPr>
          <w:b/>
          <w:lang w:val="en-NZ" w:eastAsia="ko-KR"/>
        </w:rPr>
      </w:pPr>
      <w:r w:rsidRPr="00441526">
        <w:rPr>
          <w:b/>
          <w:lang w:val="en-NZ" w:eastAsia="ko-KR"/>
        </w:rPr>
        <w:t xml:space="preserve">1. </w:t>
      </w:r>
      <w:r w:rsidRPr="00441526">
        <w:rPr>
          <w:b/>
          <w:lang w:val="en-NZ" w:eastAsia="ko-KR"/>
        </w:rPr>
        <w:tab/>
        <w:t>Background</w:t>
      </w:r>
    </w:p>
    <w:p w14:paraId="43B9BF79" w14:textId="77777777" w:rsidR="00BA6A5D" w:rsidRPr="0028602C" w:rsidRDefault="00BA6A5D" w:rsidP="00F030B5">
      <w:pPr>
        <w:spacing w:before="200" w:after="12"/>
        <w:jc w:val="both"/>
        <w:rPr>
          <w:color w:val="000000" w:themeColor="text1"/>
        </w:rPr>
      </w:pPr>
      <w:r w:rsidRPr="0028602C">
        <w:rPr>
          <w:rFonts w:hint="eastAsia"/>
          <w:color w:val="000000" w:themeColor="text1"/>
          <w:lang w:eastAsia="ko-KR"/>
        </w:rPr>
        <w:t xml:space="preserve">Resolution </w:t>
      </w:r>
      <w:r w:rsidRPr="0028602C">
        <w:rPr>
          <w:b/>
          <w:color w:val="000000" w:themeColor="text1"/>
          <w:lang w:eastAsia="ko-KR"/>
        </w:rPr>
        <w:t>658 (WRC-15)</w:t>
      </w:r>
      <w:r w:rsidRPr="0028602C">
        <w:rPr>
          <w:color w:val="000000" w:themeColor="text1"/>
          <w:lang w:eastAsia="ko-KR"/>
        </w:rPr>
        <w:t xml:space="preserve"> resolves to invite </w:t>
      </w:r>
      <w:r w:rsidRPr="0028602C">
        <w:rPr>
          <w:rFonts w:hint="eastAsia"/>
          <w:color w:val="000000" w:themeColor="text1"/>
          <w:lang w:eastAsia="ko-KR"/>
        </w:rPr>
        <w:t>ITU-R</w:t>
      </w:r>
      <w:r w:rsidRPr="0028602C">
        <w:rPr>
          <w:color w:val="000000" w:themeColor="text1"/>
          <w:lang w:eastAsia="ko-KR"/>
        </w:rPr>
        <w:t>:</w:t>
      </w:r>
      <w:r w:rsidRPr="0028602C">
        <w:rPr>
          <w:rFonts w:hint="eastAsia"/>
          <w:color w:val="000000" w:themeColor="text1"/>
          <w:lang w:eastAsia="ko-KR"/>
        </w:rPr>
        <w:t xml:space="preserve"> </w:t>
      </w:r>
    </w:p>
    <w:p w14:paraId="47F34AB7" w14:textId="77777777" w:rsidR="00BA6A5D" w:rsidRPr="0028602C" w:rsidRDefault="00BA6A5D" w:rsidP="000901A5">
      <w:pPr>
        <w:pStyle w:val="ListParagraph"/>
        <w:numPr>
          <w:ilvl w:val="0"/>
          <w:numId w:val="28"/>
        </w:numPr>
        <w:spacing w:after="12"/>
        <w:ind w:left="806" w:hanging="403"/>
        <w:jc w:val="both"/>
        <w:rPr>
          <w:color w:val="000000" w:themeColor="text1"/>
          <w:lang w:val="en-GB"/>
        </w:rPr>
      </w:pPr>
      <w:r w:rsidRPr="0028602C">
        <w:rPr>
          <w:color w:val="000000" w:themeColor="text1"/>
          <w:lang w:val="en-GB"/>
        </w:rPr>
        <w:t>to study spectrum needs in Region</w:t>
      </w:r>
      <w:r w:rsidRPr="0028602C">
        <w:rPr>
          <w:rFonts w:hint="eastAsia"/>
          <w:color w:val="000000" w:themeColor="text1"/>
          <w:lang w:val="en-GB" w:eastAsia="ko-KR"/>
        </w:rPr>
        <w:t xml:space="preserve"> </w:t>
      </w:r>
      <w:r w:rsidRPr="0028602C">
        <w:rPr>
          <w:color w:val="000000" w:themeColor="text1"/>
          <w:lang w:val="en-GB"/>
        </w:rPr>
        <w:t>1 for the amateur service in the frequency band 50</w:t>
      </w:r>
      <w:r w:rsidRPr="0028602C">
        <w:rPr>
          <w:color w:val="000000" w:themeColor="text1"/>
          <w:lang w:val="en-GB"/>
        </w:rPr>
        <w:noBreakHyphen/>
        <w:t>54</w:t>
      </w:r>
      <w:r w:rsidRPr="0028602C">
        <w:rPr>
          <w:rFonts w:hint="eastAsia"/>
          <w:color w:val="000000" w:themeColor="text1"/>
          <w:lang w:val="en-GB" w:eastAsia="ko-KR"/>
        </w:rPr>
        <w:t xml:space="preserve"> </w:t>
      </w:r>
      <w:r w:rsidRPr="0028602C">
        <w:rPr>
          <w:color w:val="000000" w:themeColor="text1"/>
          <w:lang w:val="en-GB"/>
        </w:rPr>
        <w:t>MHz;</w:t>
      </w:r>
    </w:p>
    <w:p w14:paraId="5B862C70" w14:textId="77777777" w:rsidR="00BA6A5D" w:rsidRPr="0028602C" w:rsidRDefault="00BA6A5D" w:rsidP="004B62F3">
      <w:pPr>
        <w:pStyle w:val="ListParagraph"/>
        <w:numPr>
          <w:ilvl w:val="0"/>
          <w:numId w:val="28"/>
        </w:numPr>
        <w:spacing w:before="60" w:after="120"/>
        <w:ind w:left="806" w:hanging="403"/>
        <w:jc w:val="both"/>
        <w:rPr>
          <w:color w:val="000000" w:themeColor="text1"/>
        </w:rPr>
      </w:pPr>
      <w:proofErr w:type="gramStart"/>
      <w:r w:rsidRPr="0028602C">
        <w:rPr>
          <w:color w:val="000000" w:themeColor="text1"/>
          <w:lang w:val="en-GB"/>
        </w:rPr>
        <w:t>taking</w:t>
      </w:r>
      <w:proofErr w:type="gramEnd"/>
      <w:r w:rsidRPr="0028602C">
        <w:rPr>
          <w:color w:val="000000" w:themeColor="text1"/>
          <w:lang w:val="en-GB"/>
        </w:rPr>
        <w:t xml:space="preserve"> into account the results of the above studies, to study sharing between the amateur service and the mobile, fixed, radiolocation and broadcasting services, in order to ensure protection of these services.</w:t>
      </w:r>
    </w:p>
    <w:p w14:paraId="4563BC59" w14:textId="77777777" w:rsidR="00BA6A5D" w:rsidRDefault="00BA6A5D" w:rsidP="00F34A2F">
      <w:pPr>
        <w:spacing w:after="120"/>
        <w:jc w:val="both"/>
        <w:rPr>
          <w:color w:val="000000" w:themeColor="text1"/>
        </w:rPr>
      </w:pPr>
      <w:r w:rsidRPr="0028602C">
        <w:rPr>
          <w:color w:val="000000" w:themeColor="text1"/>
        </w:rPr>
        <w:t>The frequency band 50-54 MHz is already allocated to the amateur service on a primary basis in Region 2 and Region 3</w:t>
      </w:r>
      <w:r w:rsidRPr="0028602C">
        <w:rPr>
          <w:rFonts w:hint="eastAsia"/>
          <w:color w:val="000000" w:themeColor="text1"/>
          <w:lang w:eastAsia="ko-KR"/>
        </w:rPr>
        <w:t xml:space="preserve">. </w:t>
      </w:r>
      <w:r w:rsidRPr="006E630E">
        <w:rPr>
          <w:color w:val="000000" w:themeColor="text1"/>
          <w:lang w:eastAsia="ko-KR"/>
        </w:rPr>
        <w:t>In Region 1 t</w:t>
      </w:r>
      <w:r w:rsidRPr="006E630E">
        <w:rPr>
          <w:color w:val="000000" w:themeColor="text1"/>
        </w:rPr>
        <w:t>he frequency band is allocated to the Broadcasting service on a primary basis with additional or alternative allocations to the Amateur, Fixed, Mobile, and/or Radiolocation (limited to wind profiler radars) services in some countries.</w:t>
      </w:r>
    </w:p>
    <w:p w14:paraId="1E3D7F3F" w14:textId="77777777" w:rsidR="00BA6A5D" w:rsidRPr="006E630E" w:rsidRDefault="00BA6A5D" w:rsidP="00F34A2F">
      <w:pPr>
        <w:keepLines/>
        <w:spacing w:after="120"/>
        <w:jc w:val="both"/>
        <w:rPr>
          <w:color w:val="000000" w:themeColor="text1"/>
        </w:rPr>
      </w:pPr>
      <w:r w:rsidRPr="006E630E">
        <w:rPr>
          <w:color w:val="000000" w:themeColor="text1"/>
        </w:rPr>
        <w:t xml:space="preserve">Full or partial worldwide harmonization of the allocation to the Amateur service in the frequency band 50-54 MHz would promote global efficiency and economies of scale </w:t>
      </w:r>
      <w:r>
        <w:rPr>
          <w:color w:val="000000" w:themeColor="text1"/>
        </w:rPr>
        <w:t xml:space="preserve">in fulfilling </w:t>
      </w:r>
      <w:r w:rsidRPr="006E630E">
        <w:rPr>
          <w:color w:val="000000" w:themeColor="text1"/>
        </w:rPr>
        <w:t>the purposes of the</w:t>
      </w:r>
      <w:r>
        <w:rPr>
          <w:color w:val="000000" w:themeColor="text1"/>
        </w:rPr>
        <w:t xml:space="preserve"> Amateur service and </w:t>
      </w:r>
      <w:r w:rsidRPr="006E630E">
        <w:rPr>
          <w:color w:val="000000" w:themeColor="text1"/>
        </w:rPr>
        <w:t>advance technical education, develop radio operating technique, and enhance international goodwill.</w:t>
      </w:r>
      <w:r>
        <w:rPr>
          <w:color w:val="000000" w:themeColor="text1"/>
        </w:rPr>
        <w:t xml:space="preserve"> </w:t>
      </w:r>
    </w:p>
    <w:p w14:paraId="22E27CF1" w14:textId="1EAD8BC5" w:rsidR="00BA6A5D" w:rsidRPr="006E630E" w:rsidRDefault="00BA6A5D" w:rsidP="00BA6A5D">
      <w:pPr>
        <w:keepLines/>
        <w:jc w:val="both"/>
        <w:rPr>
          <w:color w:val="000000" w:themeColor="text1"/>
        </w:rPr>
      </w:pPr>
      <w:r w:rsidRPr="006E630E">
        <w:rPr>
          <w:rFonts w:eastAsia="Times New Roman"/>
          <w:color w:val="000000" w:themeColor="text1"/>
          <w:lang w:bidi="en-US"/>
        </w:rPr>
        <w:t>The frequency range 30-80 MHz is a transition area between ionospheric and non-ionospheric radio propagation modes, which makes it particularly interesting for experimentation and study with the amateur service. Band alignment with Region</w:t>
      </w:r>
      <w:r w:rsidR="00D63877" w:rsidRPr="00E84027">
        <w:rPr>
          <w:rFonts w:eastAsia="Times New Roman"/>
          <w:color w:val="000000" w:themeColor="text1"/>
          <w:lang w:bidi="en-US"/>
        </w:rPr>
        <w:t>s</w:t>
      </w:r>
      <w:r w:rsidRPr="006E630E">
        <w:rPr>
          <w:rFonts w:eastAsia="Times New Roman"/>
          <w:color w:val="000000" w:themeColor="text1"/>
          <w:lang w:bidi="en-US"/>
        </w:rPr>
        <w:t xml:space="preserve"> 2 and 3 would facilitate the general understanding and prediction of propagation events as data accumulates and more Region 1 administrations grant their amateur licensees access to spectrum in the 50</w:t>
      </w:r>
      <w:r w:rsidRPr="006E630E">
        <w:rPr>
          <w:rFonts w:eastAsia="Times New Roman"/>
          <w:color w:val="000000" w:themeColor="text1"/>
          <w:lang w:bidi="en-US"/>
        </w:rPr>
        <w:noBreakHyphen/>
        <w:t>54 MHz frequency band.</w:t>
      </w:r>
    </w:p>
    <w:p w14:paraId="4EA2D5E5" w14:textId="6336950B" w:rsidR="00F34A2F" w:rsidRPr="00E84027" w:rsidRDefault="003B49BE" w:rsidP="00DF48E2">
      <w:pPr>
        <w:spacing w:before="120" w:afterLines="60" w:after="144"/>
        <w:jc w:val="both"/>
      </w:pPr>
      <w:r w:rsidRPr="00F030B5">
        <w:rPr>
          <w:color w:val="000000" w:themeColor="text1"/>
          <w:lang w:eastAsia="ko-KR"/>
        </w:rPr>
        <w:t xml:space="preserve">ITU-R Working Party (WP) 5A as the responsible group for Agenda Item 1.1 has developed a preliminary draft new </w:t>
      </w:r>
      <w:hyperlink r:id="rId9" w:history="1">
        <w:r w:rsidRPr="00F030B5">
          <w:rPr>
            <w:rStyle w:val="Hyperlink"/>
            <w:lang w:eastAsia="ko-KR"/>
          </w:rPr>
          <w:t>Report ITU-R M.[AMATEUR_50_MHz]</w:t>
        </w:r>
      </w:hyperlink>
      <w:r w:rsidRPr="00F030B5">
        <w:rPr>
          <w:color w:val="000000" w:themeColor="text1"/>
          <w:lang w:eastAsia="ko-KR"/>
        </w:rPr>
        <w:t xml:space="preserve"> “Spectrum needs for the amateur service in the frequency band 50-54 MHz in Region 1 and sharing with mobile fixed, radiolocation, and broadcasting services”.</w:t>
      </w:r>
      <w:r w:rsidRPr="00E84027">
        <w:rPr>
          <w:color w:val="000000" w:themeColor="text1"/>
          <w:lang w:eastAsia="ko-KR"/>
        </w:rPr>
        <w:t xml:space="preserve">  </w:t>
      </w:r>
      <w:r w:rsidR="00F34A2F" w:rsidRPr="00F030B5">
        <w:t xml:space="preserve">One study concluded that 4 MHz of spectrum is required while the other concluded that 1.75 MHz is required.  Results of sharing studies between incumbent services and the amateur service </w:t>
      </w:r>
      <w:r w:rsidRPr="00F030B5">
        <w:t>are</w:t>
      </w:r>
      <w:r w:rsidR="00F34A2F" w:rsidRPr="00F030B5">
        <w:t xml:space="preserve"> summarized in the table below:   </w:t>
      </w:r>
    </w:p>
    <w:tbl>
      <w:tblPr>
        <w:tblStyle w:val="TableGrid"/>
        <w:tblW w:w="0" w:type="auto"/>
        <w:tblLook w:val="04A0" w:firstRow="1" w:lastRow="0" w:firstColumn="1" w:lastColumn="0" w:noHBand="0" w:noVBand="1"/>
      </w:tblPr>
      <w:tblGrid>
        <w:gridCol w:w="4051"/>
        <w:gridCol w:w="5112"/>
      </w:tblGrid>
      <w:tr w:rsidR="00F34A2F" w:rsidRPr="00F030B5" w14:paraId="5E7B803F" w14:textId="77777777" w:rsidTr="003B49BE">
        <w:tc>
          <w:tcPr>
            <w:tcW w:w="9307" w:type="dxa"/>
            <w:gridSpan w:val="2"/>
            <w:vAlign w:val="center"/>
          </w:tcPr>
          <w:p w14:paraId="57F49EC3" w14:textId="15F5DA1E" w:rsidR="00F34A2F" w:rsidRPr="00F030B5" w:rsidRDefault="00F34A2F" w:rsidP="00F030B5">
            <w:pPr>
              <w:spacing w:after="60"/>
              <w:jc w:val="center"/>
              <w:rPr>
                <w:b/>
              </w:rPr>
            </w:pPr>
            <w:r w:rsidRPr="00F030B5">
              <w:rPr>
                <w:b/>
              </w:rPr>
              <w:t>Typical separation distances between amateur service and incumbent service stations</w:t>
            </w:r>
          </w:p>
        </w:tc>
      </w:tr>
      <w:tr w:rsidR="004B62F3" w:rsidRPr="00F030B5" w14:paraId="11642B7B" w14:textId="77777777" w:rsidTr="004B62F3">
        <w:tc>
          <w:tcPr>
            <w:tcW w:w="4106" w:type="dxa"/>
            <w:vAlign w:val="center"/>
          </w:tcPr>
          <w:p w14:paraId="42F3CFD2" w14:textId="6535A98E" w:rsidR="00F34A2F" w:rsidRPr="00F030B5" w:rsidRDefault="00F34A2F" w:rsidP="003B49BE">
            <w:pPr>
              <w:spacing w:after="60"/>
              <w:jc w:val="both"/>
            </w:pPr>
            <w:r w:rsidRPr="00F030B5">
              <w:t>Broadcasting</w:t>
            </w:r>
          </w:p>
        </w:tc>
        <w:tc>
          <w:tcPr>
            <w:tcW w:w="5201" w:type="dxa"/>
            <w:vAlign w:val="center"/>
          </w:tcPr>
          <w:p w14:paraId="1E788A73" w14:textId="77777777" w:rsidR="00F34A2F" w:rsidRPr="00F030B5" w:rsidRDefault="00F34A2F" w:rsidP="003B49BE">
            <w:pPr>
              <w:spacing w:after="60"/>
              <w:jc w:val="both"/>
            </w:pPr>
            <w:r w:rsidRPr="00F030B5">
              <w:t>70 to 175 km</w:t>
            </w:r>
          </w:p>
        </w:tc>
      </w:tr>
      <w:tr w:rsidR="004B62F3" w:rsidRPr="00F030B5" w14:paraId="218500D7" w14:textId="77777777" w:rsidTr="004B62F3">
        <w:tc>
          <w:tcPr>
            <w:tcW w:w="4106" w:type="dxa"/>
            <w:vAlign w:val="center"/>
          </w:tcPr>
          <w:p w14:paraId="4AE4CF05" w14:textId="2B9BC132" w:rsidR="00F34A2F" w:rsidRPr="00F030B5" w:rsidRDefault="00F34A2F" w:rsidP="003B49BE">
            <w:pPr>
              <w:spacing w:after="60"/>
              <w:jc w:val="both"/>
            </w:pPr>
            <w:r w:rsidRPr="00F030B5">
              <w:t>Land mobile</w:t>
            </w:r>
          </w:p>
        </w:tc>
        <w:tc>
          <w:tcPr>
            <w:tcW w:w="5201" w:type="dxa"/>
            <w:vAlign w:val="center"/>
          </w:tcPr>
          <w:p w14:paraId="46E6DBA4" w14:textId="77777777" w:rsidR="00F34A2F" w:rsidRPr="00F030B5" w:rsidRDefault="00F34A2F" w:rsidP="003B49BE">
            <w:pPr>
              <w:spacing w:after="60"/>
              <w:jc w:val="both"/>
            </w:pPr>
            <w:r w:rsidRPr="00F030B5">
              <w:t>170 km to more than 500 km (average terrain)</w:t>
            </w:r>
          </w:p>
        </w:tc>
      </w:tr>
      <w:tr w:rsidR="00F34A2F" w14:paraId="35C13DA7" w14:textId="77777777" w:rsidTr="004B62F3">
        <w:tc>
          <w:tcPr>
            <w:tcW w:w="4106" w:type="dxa"/>
            <w:vAlign w:val="center"/>
          </w:tcPr>
          <w:p w14:paraId="067DFEEB" w14:textId="4F792998" w:rsidR="00F34A2F" w:rsidRPr="00F030B5" w:rsidRDefault="00F34A2F" w:rsidP="003B49BE">
            <w:pPr>
              <w:spacing w:after="60"/>
              <w:jc w:val="both"/>
            </w:pPr>
            <w:r w:rsidRPr="00F030B5">
              <w:lastRenderedPageBreak/>
              <w:t xml:space="preserve">Radiolocation (wind profiler radars) </w:t>
            </w:r>
          </w:p>
        </w:tc>
        <w:tc>
          <w:tcPr>
            <w:tcW w:w="5201" w:type="dxa"/>
            <w:vAlign w:val="center"/>
          </w:tcPr>
          <w:p w14:paraId="2AA92370" w14:textId="77777777" w:rsidR="00F34A2F" w:rsidRDefault="00F34A2F" w:rsidP="003B49BE">
            <w:pPr>
              <w:spacing w:after="60"/>
              <w:jc w:val="both"/>
            </w:pPr>
            <w:r w:rsidRPr="00F030B5">
              <w:t>29 km to more than 500 km</w:t>
            </w:r>
          </w:p>
        </w:tc>
      </w:tr>
    </w:tbl>
    <w:p w14:paraId="0F78817C" w14:textId="310A89DA" w:rsidR="001D1B86" w:rsidRPr="004B62F3" w:rsidRDefault="001D1B86" w:rsidP="00F030B5">
      <w:pPr>
        <w:spacing w:before="120"/>
        <w:jc w:val="both"/>
        <w:rPr>
          <w:color w:val="000000"/>
        </w:rPr>
      </w:pPr>
      <w:r w:rsidRPr="00F030B5">
        <w:t xml:space="preserve">In addition, specific studies on sharing with fixed services as well as coordination techniques and </w:t>
      </w:r>
      <w:r w:rsidRPr="00F030B5">
        <w:rPr>
          <w:color w:val="000000"/>
        </w:rPr>
        <w:t>interference mitigation measures between services in adjacent countries have not yet been done.  Possible techniques might include operational limitations on amateur stations, listen-before-talk operation, and technical means such as spread spectrum techniques.</w:t>
      </w:r>
      <w:r w:rsidRPr="007060E1">
        <w:t xml:space="preserve"> </w:t>
      </w:r>
    </w:p>
    <w:p w14:paraId="1D0C2EBE" w14:textId="77777777" w:rsidR="001D1B86" w:rsidRDefault="001D1B86" w:rsidP="001D1B86"/>
    <w:p w14:paraId="2E0E6752" w14:textId="24F2FF20" w:rsidR="00B64A60" w:rsidRPr="00441526" w:rsidRDefault="00B64A60" w:rsidP="004B62F3">
      <w:pPr>
        <w:spacing w:after="120"/>
        <w:rPr>
          <w:b/>
          <w:lang w:val="en-NZ" w:eastAsia="ko-KR"/>
        </w:rPr>
      </w:pPr>
      <w:r w:rsidRPr="00441526">
        <w:rPr>
          <w:b/>
          <w:lang w:val="en-NZ" w:eastAsia="ko-KR"/>
        </w:rPr>
        <w:t xml:space="preserve">2. </w:t>
      </w:r>
      <w:r w:rsidRPr="00441526">
        <w:rPr>
          <w:b/>
          <w:lang w:val="en-NZ" w:eastAsia="ko-KR"/>
        </w:rPr>
        <w:tab/>
        <w:t>Documents</w:t>
      </w:r>
    </w:p>
    <w:p w14:paraId="30166DB8" w14:textId="5C4ADD19" w:rsidR="0049492F" w:rsidRDefault="0049492F" w:rsidP="000901A5">
      <w:pPr>
        <w:ind w:left="709"/>
        <w:rPr>
          <w:lang w:val="en-NZ"/>
        </w:rPr>
      </w:pPr>
      <w:bookmarkStart w:id="0" w:name="_Hlk534709360"/>
      <w:r>
        <w:rPr>
          <w:lang w:val="en-NZ"/>
        </w:rPr>
        <w:t xml:space="preserve">Input Documents: </w:t>
      </w:r>
      <w:r w:rsidRPr="0049492F">
        <w:rPr>
          <w:lang w:val="en-NZ" w:eastAsia="ko-KR"/>
        </w:rPr>
        <w:t>APG19-</w:t>
      </w:r>
      <w:r w:rsidR="00FA7090">
        <w:rPr>
          <w:lang w:val="en-NZ" w:eastAsia="ko-KR"/>
        </w:rPr>
        <w:t>4</w:t>
      </w:r>
      <w:r w:rsidRPr="0049492F">
        <w:rPr>
          <w:lang w:val="en-NZ" w:eastAsia="ko-KR"/>
        </w:rPr>
        <w:t>/INP-</w:t>
      </w:r>
      <w:r w:rsidR="00FA7090">
        <w:rPr>
          <w:lang w:val="en-NZ" w:eastAsia="ko-KR"/>
        </w:rPr>
        <w:t>19</w:t>
      </w:r>
      <w:r w:rsidRPr="0049492F">
        <w:rPr>
          <w:lang w:val="en-NZ" w:eastAsia="ko-KR"/>
        </w:rPr>
        <w:t xml:space="preserve"> </w:t>
      </w:r>
      <w:r w:rsidR="003B49BE">
        <w:rPr>
          <w:lang w:val="en-NZ" w:eastAsia="ko-KR"/>
        </w:rPr>
        <w:t>(</w:t>
      </w:r>
      <w:r w:rsidR="00FA7090">
        <w:rPr>
          <w:lang w:val="en-NZ" w:eastAsia="ko-KR"/>
        </w:rPr>
        <w:t>Rev.1</w:t>
      </w:r>
      <w:r w:rsidR="003B49BE">
        <w:rPr>
          <w:lang w:val="en-NZ" w:eastAsia="ko-KR"/>
        </w:rPr>
        <w:t>)</w:t>
      </w:r>
      <w:r w:rsidR="00FA7090">
        <w:rPr>
          <w:lang w:val="en-NZ" w:eastAsia="ko-KR"/>
        </w:rPr>
        <w:t xml:space="preserve"> </w:t>
      </w:r>
      <w:r w:rsidRPr="0049492F">
        <w:rPr>
          <w:lang w:val="en-NZ" w:eastAsia="ko-KR"/>
        </w:rPr>
        <w:t>(</w:t>
      </w:r>
      <w:r w:rsidR="00FA7090">
        <w:rPr>
          <w:lang w:val="en-NZ" w:eastAsia="ko-KR"/>
        </w:rPr>
        <w:t>AUS</w:t>
      </w:r>
      <w:r w:rsidRPr="0049492F">
        <w:rPr>
          <w:lang w:val="en-NZ" w:eastAsia="ko-KR"/>
        </w:rPr>
        <w:t>), APG19-</w:t>
      </w:r>
      <w:r w:rsidR="00FA7090">
        <w:rPr>
          <w:lang w:val="en-NZ" w:eastAsia="ko-KR"/>
        </w:rPr>
        <w:t>4</w:t>
      </w:r>
      <w:r w:rsidRPr="0049492F">
        <w:rPr>
          <w:lang w:val="en-NZ" w:eastAsia="ko-KR"/>
        </w:rPr>
        <w:t>/INP-</w:t>
      </w:r>
      <w:r w:rsidR="00FA7090">
        <w:rPr>
          <w:lang w:val="en-NZ" w:eastAsia="ko-KR"/>
        </w:rPr>
        <w:t>63</w:t>
      </w:r>
      <w:r w:rsidRPr="0049492F">
        <w:rPr>
          <w:lang w:val="en-NZ" w:eastAsia="ko-KR"/>
        </w:rPr>
        <w:t xml:space="preserve"> (</w:t>
      </w:r>
      <w:r w:rsidR="00FA7090">
        <w:rPr>
          <w:lang w:val="en-NZ" w:eastAsia="ko-KR"/>
        </w:rPr>
        <w:t>J</w:t>
      </w:r>
      <w:r w:rsidRPr="0049492F">
        <w:rPr>
          <w:lang w:val="en-NZ" w:eastAsia="ko-KR"/>
        </w:rPr>
        <w:t>), APG19-</w:t>
      </w:r>
      <w:r w:rsidR="00FA7090">
        <w:rPr>
          <w:lang w:val="en-NZ" w:eastAsia="ko-KR"/>
        </w:rPr>
        <w:t>4</w:t>
      </w:r>
      <w:r w:rsidRPr="0049492F">
        <w:rPr>
          <w:lang w:val="en-NZ" w:eastAsia="ko-KR"/>
        </w:rPr>
        <w:t>/INP-</w:t>
      </w:r>
      <w:r w:rsidR="00FA7090">
        <w:rPr>
          <w:lang w:val="en-NZ" w:eastAsia="ko-KR"/>
        </w:rPr>
        <w:t>80</w:t>
      </w:r>
      <w:r w:rsidRPr="0049492F">
        <w:rPr>
          <w:lang w:val="en-NZ" w:eastAsia="ko-KR"/>
        </w:rPr>
        <w:t xml:space="preserve"> (</w:t>
      </w:r>
      <w:r w:rsidR="00FA7090">
        <w:rPr>
          <w:lang w:val="en-NZ" w:eastAsia="ko-KR"/>
        </w:rPr>
        <w:t>KOR</w:t>
      </w:r>
      <w:r w:rsidRPr="0049492F">
        <w:rPr>
          <w:lang w:val="en-NZ" w:eastAsia="ko-KR"/>
        </w:rPr>
        <w:t xml:space="preserve">), </w:t>
      </w:r>
      <w:r w:rsidR="00FA7090">
        <w:rPr>
          <w:lang w:val="en-NZ" w:eastAsia="ko-KR"/>
        </w:rPr>
        <w:t xml:space="preserve">APG19-4/INP-87(IRN), </w:t>
      </w:r>
      <w:r w:rsidRPr="0049492F">
        <w:rPr>
          <w:lang w:val="en-NZ" w:eastAsia="ko-KR"/>
        </w:rPr>
        <w:t>APG19-</w:t>
      </w:r>
      <w:r w:rsidR="00FA7090">
        <w:rPr>
          <w:lang w:val="en-NZ" w:eastAsia="ko-KR"/>
        </w:rPr>
        <w:t>4</w:t>
      </w:r>
      <w:r w:rsidRPr="0049492F">
        <w:rPr>
          <w:lang w:val="en-NZ" w:eastAsia="ko-KR"/>
        </w:rPr>
        <w:t>/I</w:t>
      </w:r>
      <w:r w:rsidR="007074AC">
        <w:rPr>
          <w:lang w:val="en-NZ" w:eastAsia="ko-KR"/>
        </w:rPr>
        <w:t>NP-</w:t>
      </w:r>
      <w:r w:rsidR="00FA7090">
        <w:rPr>
          <w:lang w:val="en-NZ" w:eastAsia="ko-KR"/>
        </w:rPr>
        <w:t>113</w:t>
      </w:r>
      <w:r w:rsidR="007074AC">
        <w:rPr>
          <w:lang w:val="en-NZ" w:eastAsia="ko-KR"/>
        </w:rPr>
        <w:t xml:space="preserve"> (</w:t>
      </w:r>
      <w:r w:rsidR="00FA7090">
        <w:rPr>
          <w:lang w:val="en-NZ" w:eastAsia="ko-KR"/>
        </w:rPr>
        <w:t>IND</w:t>
      </w:r>
      <w:r w:rsidR="007074AC">
        <w:rPr>
          <w:lang w:val="en-NZ" w:eastAsia="ko-KR"/>
        </w:rPr>
        <w:t>), APG19-</w:t>
      </w:r>
      <w:r w:rsidR="00FA7090">
        <w:rPr>
          <w:lang w:val="en-NZ" w:eastAsia="ko-KR"/>
        </w:rPr>
        <w:t>4</w:t>
      </w:r>
      <w:r w:rsidR="007074AC">
        <w:rPr>
          <w:lang w:val="en-NZ" w:eastAsia="ko-KR"/>
        </w:rPr>
        <w:t>/INP-</w:t>
      </w:r>
      <w:r w:rsidR="00FA7090">
        <w:rPr>
          <w:lang w:val="en-NZ" w:eastAsia="ko-KR"/>
        </w:rPr>
        <w:t>122</w:t>
      </w:r>
      <w:r w:rsidR="007074AC">
        <w:rPr>
          <w:lang w:val="en-NZ" w:eastAsia="ko-KR"/>
        </w:rPr>
        <w:t xml:space="preserve"> (INS</w:t>
      </w:r>
      <w:r w:rsidRPr="0049492F">
        <w:rPr>
          <w:lang w:val="en-NZ" w:eastAsia="ko-KR"/>
        </w:rPr>
        <w:t>)</w:t>
      </w:r>
      <w:r w:rsidR="00FA7090">
        <w:rPr>
          <w:lang w:val="en-NZ" w:eastAsia="ko-KR"/>
        </w:rPr>
        <w:t>.</w:t>
      </w:r>
      <w:r w:rsidRPr="0049492F">
        <w:rPr>
          <w:lang w:val="en-NZ" w:eastAsia="ko-KR"/>
        </w:rPr>
        <w:t xml:space="preserve"> </w:t>
      </w:r>
    </w:p>
    <w:p w14:paraId="0AF8F221" w14:textId="0713BCC3" w:rsidR="00B56099" w:rsidRPr="0035612F" w:rsidRDefault="0049492F" w:rsidP="000901A5">
      <w:pPr>
        <w:spacing w:before="120"/>
        <w:ind w:left="709"/>
        <w:rPr>
          <w:b/>
          <w:lang w:val="en-NZ" w:eastAsia="ko-KR"/>
        </w:rPr>
      </w:pPr>
      <w:r w:rsidRPr="0035612F">
        <w:rPr>
          <w:lang w:val="en-NZ"/>
        </w:rPr>
        <w:t xml:space="preserve">Information Documents: </w:t>
      </w:r>
      <w:r w:rsidR="00D63877" w:rsidRPr="0035612F">
        <w:rPr>
          <w:lang w:val="en-NZ"/>
        </w:rPr>
        <w:t>APG19-4/INF-02 (WMO), APG19-4/INF-03 (IARU)</w:t>
      </w:r>
      <w:r w:rsidR="00BB4B63" w:rsidRPr="0035612F">
        <w:rPr>
          <w:lang w:val="en-NZ"/>
        </w:rPr>
        <w:t>, APG19-/INF-04 (ICAO)</w:t>
      </w:r>
      <w:r w:rsidR="00843F5E" w:rsidRPr="0035612F">
        <w:rPr>
          <w:lang w:val="en-NZ"/>
        </w:rPr>
        <w:t>,</w:t>
      </w:r>
      <w:r w:rsidR="0035612F" w:rsidRPr="0035612F">
        <w:rPr>
          <w:lang w:val="en-NZ"/>
        </w:rPr>
        <w:t xml:space="preserve"> </w:t>
      </w:r>
      <w:bookmarkStart w:id="1" w:name="_Hlk534709311"/>
      <w:r w:rsidR="0035612F" w:rsidRPr="0035612F">
        <w:rPr>
          <w:lang w:val="en-NZ"/>
        </w:rPr>
        <w:t>APG19-4/INF-09</w:t>
      </w:r>
      <w:r w:rsidR="003B49BE">
        <w:rPr>
          <w:lang w:val="en-NZ"/>
        </w:rPr>
        <w:t xml:space="preserve"> </w:t>
      </w:r>
      <w:r w:rsidR="0035612F" w:rsidRPr="0035612F">
        <w:rPr>
          <w:lang w:val="en-NZ"/>
        </w:rPr>
        <w:t>(Rev.1)</w:t>
      </w:r>
      <w:r w:rsidR="00B97926">
        <w:rPr>
          <w:lang w:val="en-NZ"/>
        </w:rPr>
        <w:t xml:space="preserve"> (ASMG)</w:t>
      </w:r>
      <w:bookmarkEnd w:id="1"/>
      <w:r w:rsidR="0035612F" w:rsidRPr="0035612F">
        <w:rPr>
          <w:lang w:val="en-NZ"/>
        </w:rPr>
        <w:t>,</w:t>
      </w:r>
      <w:r w:rsidR="00843F5E" w:rsidRPr="0035612F">
        <w:rPr>
          <w:lang w:val="en-NZ"/>
        </w:rPr>
        <w:t xml:space="preserve"> </w:t>
      </w:r>
      <w:r w:rsidR="00B97926" w:rsidRPr="0035612F">
        <w:rPr>
          <w:lang w:val="en-NZ"/>
        </w:rPr>
        <w:t>APG19-4/INF-09</w:t>
      </w:r>
      <w:r w:rsidR="003B49BE">
        <w:rPr>
          <w:lang w:val="en-NZ"/>
        </w:rPr>
        <w:t xml:space="preserve"> </w:t>
      </w:r>
      <w:r w:rsidR="00B97926" w:rsidRPr="0035612F">
        <w:rPr>
          <w:lang w:val="en-NZ"/>
        </w:rPr>
        <w:t>(Rev.1)</w:t>
      </w:r>
      <w:r w:rsidR="00B97926">
        <w:rPr>
          <w:lang w:val="en-NZ"/>
        </w:rPr>
        <w:t xml:space="preserve"> (ATU), </w:t>
      </w:r>
      <w:r w:rsidR="00843F5E" w:rsidRPr="0035612F">
        <w:rPr>
          <w:lang w:val="en-NZ"/>
        </w:rPr>
        <w:t>APG19-4/INF-22 (CITEL), APG19-4/INF-23 (CEPT), APG19-4/INF-2</w:t>
      </w:r>
      <w:r w:rsidR="00FF511F">
        <w:rPr>
          <w:lang w:val="en-NZ"/>
        </w:rPr>
        <w:t>4</w:t>
      </w:r>
      <w:r w:rsidR="00843F5E" w:rsidRPr="0035612F">
        <w:rPr>
          <w:lang w:val="en-NZ"/>
        </w:rPr>
        <w:t xml:space="preserve"> (RCC).</w:t>
      </w:r>
    </w:p>
    <w:bookmarkEnd w:id="0"/>
    <w:p w14:paraId="730B7535" w14:textId="6725F8A8" w:rsidR="00F9578E" w:rsidRPr="00441526" w:rsidRDefault="00B64A60" w:rsidP="00F030B5">
      <w:pPr>
        <w:spacing w:before="240" w:after="120"/>
        <w:jc w:val="both"/>
        <w:rPr>
          <w:b/>
          <w:lang w:val="en-NZ" w:eastAsia="ko-KR"/>
        </w:rPr>
      </w:pPr>
      <w:r w:rsidRPr="00441526">
        <w:rPr>
          <w:b/>
          <w:lang w:val="en-NZ" w:eastAsia="ko-KR"/>
        </w:rPr>
        <w:t xml:space="preserve">3. </w:t>
      </w:r>
      <w:r w:rsidRPr="00441526">
        <w:rPr>
          <w:b/>
          <w:lang w:val="en-NZ" w:eastAsia="ko-KR"/>
        </w:rPr>
        <w:tab/>
        <w:t xml:space="preserve">Summary of </w:t>
      </w:r>
      <w:r w:rsidR="00DF0EB4" w:rsidRPr="00441526">
        <w:rPr>
          <w:b/>
          <w:lang w:val="en-NZ" w:eastAsia="ko-KR"/>
        </w:rPr>
        <w:t>d</w:t>
      </w:r>
      <w:r w:rsidRPr="00441526">
        <w:rPr>
          <w:b/>
          <w:lang w:val="en-NZ" w:eastAsia="ko-KR"/>
        </w:rPr>
        <w:t>iscussions</w:t>
      </w:r>
    </w:p>
    <w:p w14:paraId="304F9937" w14:textId="3821F271" w:rsidR="004A2F96" w:rsidRPr="00441526" w:rsidRDefault="004A2F96" w:rsidP="00B64A6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 xml:space="preserve">of </w:t>
      </w:r>
      <w:r w:rsidR="00393DCD" w:rsidRPr="00441526">
        <w:rPr>
          <w:b/>
          <w:lang w:val="en-NZ" w:eastAsia="ko-KR"/>
        </w:rPr>
        <w:t xml:space="preserve">APT </w:t>
      </w:r>
      <w:r w:rsidRPr="00441526">
        <w:rPr>
          <w:b/>
          <w:lang w:val="en-NZ" w:eastAsia="ko-KR"/>
        </w:rPr>
        <w:t>Members’ view</w:t>
      </w:r>
      <w:r w:rsidR="00BC69DB" w:rsidRPr="00441526">
        <w:rPr>
          <w:b/>
          <w:lang w:val="en-NZ" w:eastAsia="ko-KR"/>
        </w:rPr>
        <w:t>s</w:t>
      </w:r>
    </w:p>
    <w:p w14:paraId="2F478EE0" w14:textId="379A4F83" w:rsidR="005A730A" w:rsidRPr="00877253" w:rsidRDefault="005A730A" w:rsidP="007316F7">
      <w:pPr>
        <w:spacing w:after="120"/>
        <w:jc w:val="both"/>
        <w:rPr>
          <w:b/>
        </w:rPr>
      </w:pPr>
      <w:r w:rsidRPr="00877253">
        <w:rPr>
          <w:b/>
          <w:lang w:val="en-NZ" w:eastAsia="ko-KR"/>
        </w:rPr>
        <w:t xml:space="preserve">3.1.1 </w:t>
      </w:r>
      <w:r w:rsidRPr="00877253">
        <w:rPr>
          <w:b/>
          <w:lang w:val="en-NZ" w:eastAsia="ko-KR"/>
        </w:rPr>
        <w:tab/>
      </w:r>
      <w:r w:rsidR="007316F7" w:rsidRPr="00877253">
        <w:rPr>
          <w:b/>
        </w:rPr>
        <w:t>Australia – Document APG19-4/INP-19</w:t>
      </w:r>
      <w:r w:rsidR="0035612F">
        <w:rPr>
          <w:b/>
        </w:rPr>
        <w:t xml:space="preserve"> (</w:t>
      </w:r>
      <w:r w:rsidR="007316F7" w:rsidRPr="00877253">
        <w:rPr>
          <w:b/>
        </w:rPr>
        <w:t>Rev1</w:t>
      </w:r>
      <w:r w:rsidR="0035612F">
        <w:rPr>
          <w:b/>
        </w:rPr>
        <w:t>)</w:t>
      </w:r>
      <w:r w:rsidR="007316F7" w:rsidRPr="00877253">
        <w:rPr>
          <w:b/>
        </w:rPr>
        <w:t xml:space="preserve"> (AUS)</w:t>
      </w:r>
    </w:p>
    <w:p w14:paraId="09CBF5B8" w14:textId="55447F4E" w:rsidR="007316F7" w:rsidRPr="000901A5" w:rsidRDefault="007316F7" w:rsidP="000901A5">
      <w:pPr>
        <w:spacing w:after="120"/>
        <w:ind w:left="709"/>
        <w:jc w:val="both"/>
        <w:rPr>
          <w:b/>
        </w:rPr>
      </w:pPr>
      <w:r w:rsidRPr="000901A5">
        <w:rPr>
          <w:lang w:val="en-AU"/>
        </w:rPr>
        <w:t>Noting this is a Region 1 issue; any changes made to the Radio Regulations under WRC-19 agenda item 1.1 shall not adversely impact incumbent services in the 50–54 MHz frequency band and adjacent frequency bands in Australia.</w:t>
      </w:r>
    </w:p>
    <w:p w14:paraId="73A5FBED" w14:textId="06527DBD" w:rsidR="000A0C21" w:rsidRPr="00877253" w:rsidRDefault="00B56099" w:rsidP="00877253">
      <w:pPr>
        <w:spacing w:before="240" w:after="120"/>
        <w:rPr>
          <w:rFonts w:eastAsia="MS Mincho"/>
          <w:lang w:val="en-GB" w:eastAsia="ja-JP"/>
        </w:rPr>
      </w:pPr>
      <w:r w:rsidRPr="000A0C21">
        <w:rPr>
          <w:b/>
          <w:lang w:val="en-NZ" w:eastAsia="ko-KR"/>
        </w:rPr>
        <w:t xml:space="preserve">3.1.2 </w:t>
      </w:r>
      <w:r w:rsidRPr="000A0C21">
        <w:rPr>
          <w:b/>
          <w:lang w:val="en-NZ" w:eastAsia="ko-KR"/>
        </w:rPr>
        <w:tab/>
      </w:r>
      <w:r w:rsidR="007316F7" w:rsidRPr="000A0C21">
        <w:rPr>
          <w:b/>
          <w:lang w:val="en-NZ" w:eastAsia="ko-KR"/>
        </w:rPr>
        <w:t>Japan</w:t>
      </w:r>
      <w:r w:rsidR="00D416A3" w:rsidRPr="000A0C21">
        <w:rPr>
          <w:b/>
          <w:lang w:val="en-NZ" w:eastAsia="ko-KR"/>
        </w:rPr>
        <w:t xml:space="preserve"> </w:t>
      </w:r>
      <w:r w:rsidR="00D416A3" w:rsidRPr="000A0C21">
        <w:t xml:space="preserve">- </w:t>
      </w:r>
      <w:r w:rsidR="00D416A3" w:rsidRPr="000A0C21">
        <w:rPr>
          <w:b/>
          <w:lang w:val="en-NZ" w:eastAsia="ko-KR"/>
        </w:rPr>
        <w:t>Doc</w:t>
      </w:r>
      <w:r w:rsidR="00D416A3" w:rsidRPr="00877253">
        <w:rPr>
          <w:b/>
          <w:lang w:val="en-NZ" w:eastAsia="ko-KR"/>
        </w:rPr>
        <w:t>ument APG19-</w:t>
      </w:r>
      <w:r w:rsidR="007316F7" w:rsidRPr="00877253">
        <w:rPr>
          <w:b/>
          <w:lang w:val="en-NZ" w:eastAsia="ko-KR"/>
        </w:rPr>
        <w:t>4</w:t>
      </w:r>
      <w:r w:rsidR="00D416A3" w:rsidRPr="00877253">
        <w:rPr>
          <w:b/>
          <w:lang w:val="en-NZ" w:eastAsia="ko-KR"/>
        </w:rPr>
        <w:t>/INP-</w:t>
      </w:r>
      <w:r w:rsidR="007316F7" w:rsidRPr="00877253">
        <w:rPr>
          <w:b/>
          <w:lang w:val="en-NZ" w:eastAsia="ko-KR"/>
        </w:rPr>
        <w:t>63</w:t>
      </w:r>
      <w:r w:rsidR="005A730A" w:rsidRPr="00877253">
        <w:rPr>
          <w:b/>
          <w:lang w:val="en-NZ" w:eastAsia="ko-KR"/>
        </w:rPr>
        <w:t xml:space="preserve"> (</w:t>
      </w:r>
      <w:r w:rsidR="007316F7" w:rsidRPr="00877253">
        <w:rPr>
          <w:b/>
          <w:lang w:val="en-NZ" w:eastAsia="ko-KR"/>
        </w:rPr>
        <w:t>J</w:t>
      </w:r>
      <w:r w:rsidR="005A730A" w:rsidRPr="00877253">
        <w:rPr>
          <w:b/>
          <w:lang w:val="en-NZ" w:eastAsia="ko-KR"/>
        </w:rPr>
        <w:t>)</w:t>
      </w:r>
    </w:p>
    <w:p w14:paraId="592A1476" w14:textId="65AFA4C4" w:rsidR="007316F7" w:rsidRPr="000901A5" w:rsidRDefault="007316F7" w:rsidP="000901A5">
      <w:pPr>
        <w:widowControl w:val="0"/>
        <w:tabs>
          <w:tab w:val="left" w:pos="709"/>
        </w:tabs>
        <w:autoSpaceDE w:val="0"/>
        <w:autoSpaceDN w:val="0"/>
        <w:adjustRightInd w:val="0"/>
        <w:ind w:left="709"/>
        <w:rPr>
          <w:rFonts w:eastAsia="MS Mincho"/>
          <w:lang w:val="en-GB" w:eastAsia="ja-JP"/>
        </w:rPr>
      </w:pPr>
      <w:r w:rsidRPr="000901A5">
        <w:rPr>
          <w:rFonts w:eastAsia="Batang"/>
        </w:rPr>
        <w:t>Any changes made to the Radio Regulations under WRC-19 Agenda Item 1.1 shall not impose any additional constraints on the existing primary services in the frequency band 50–54 MHz in Region 3.</w:t>
      </w:r>
    </w:p>
    <w:p w14:paraId="0547968F" w14:textId="0BDDE3B7" w:rsidR="007316F7" w:rsidRPr="00BB4B63" w:rsidRDefault="005A730A" w:rsidP="00877253">
      <w:pPr>
        <w:spacing w:before="240" w:after="120"/>
        <w:jc w:val="both"/>
        <w:rPr>
          <w:b/>
          <w:lang w:val="en-NZ" w:eastAsia="ko-KR"/>
        </w:rPr>
      </w:pPr>
      <w:r w:rsidRPr="00877253">
        <w:rPr>
          <w:b/>
          <w:lang w:val="en-NZ" w:eastAsia="ko-KR"/>
        </w:rPr>
        <w:t>3.1.3</w:t>
      </w:r>
      <w:r w:rsidR="00B56099" w:rsidRPr="00BB4B63">
        <w:rPr>
          <w:b/>
          <w:lang w:val="en-NZ" w:eastAsia="ko-KR"/>
        </w:rPr>
        <w:tab/>
      </w:r>
      <w:r w:rsidR="007316F7" w:rsidRPr="00BB4B63">
        <w:rPr>
          <w:b/>
          <w:lang w:val="en-NZ" w:eastAsia="ko-KR"/>
        </w:rPr>
        <w:t xml:space="preserve">Korea </w:t>
      </w:r>
      <w:r w:rsidR="0099061E" w:rsidRPr="00BB4B63">
        <w:rPr>
          <w:b/>
          <w:lang w:val="en-NZ" w:eastAsia="ko-KR"/>
        </w:rPr>
        <w:t xml:space="preserve">(Rep. of) </w:t>
      </w:r>
      <w:r w:rsidR="007316F7" w:rsidRPr="00BB4B63">
        <w:rPr>
          <w:b/>
          <w:lang w:val="en-NZ" w:eastAsia="ko-KR"/>
        </w:rPr>
        <w:t>– Document APG19-4/INP-80 (KOR)</w:t>
      </w:r>
    </w:p>
    <w:p w14:paraId="1A972560" w14:textId="4BAFFA44" w:rsidR="007316F7" w:rsidRDefault="007316F7" w:rsidP="000901A5">
      <w:pPr>
        <w:pStyle w:val="enumlev1"/>
        <w:spacing w:before="0"/>
        <w:ind w:left="709" w:firstLine="0"/>
      </w:pPr>
      <w:r w:rsidRPr="00BB4B63">
        <w:t xml:space="preserve">Noting this is a Region 1 issue, APT Members agree that any changes made to the Radio Regulations under WRC-19 Agenda Item 1.1 shall not </w:t>
      </w:r>
      <w:r w:rsidRPr="000A0C21">
        <w:t>adversely impact the incumbent amateur, broadcasting, fixed and mobile services in the 50–54 MHz frequency band and adjacent frequency bands in Region 3.</w:t>
      </w:r>
    </w:p>
    <w:p w14:paraId="4EAF18B0" w14:textId="5FCBE65C" w:rsidR="0099061E" w:rsidRDefault="0099061E" w:rsidP="00877253">
      <w:pPr>
        <w:spacing w:before="240" w:after="120"/>
        <w:jc w:val="both"/>
        <w:rPr>
          <w:b/>
          <w:lang w:val="en-NZ" w:eastAsia="ko-KR"/>
        </w:rPr>
      </w:pPr>
      <w:r>
        <w:rPr>
          <w:b/>
          <w:lang w:val="en-NZ" w:eastAsia="ko-KR"/>
        </w:rPr>
        <w:t>3.1.4</w:t>
      </w:r>
      <w:r>
        <w:rPr>
          <w:b/>
          <w:lang w:val="en-NZ" w:eastAsia="ko-KR"/>
        </w:rPr>
        <w:tab/>
      </w:r>
      <w:r w:rsidRPr="00877253">
        <w:rPr>
          <w:b/>
          <w:lang w:val="en-NZ" w:eastAsia="ko-KR"/>
        </w:rPr>
        <w:t>Iran</w:t>
      </w:r>
      <w:r w:rsidR="006D714F" w:rsidRPr="00877253">
        <w:rPr>
          <w:b/>
          <w:lang w:val="en-NZ" w:eastAsia="ko-KR"/>
        </w:rPr>
        <w:t xml:space="preserve"> </w:t>
      </w:r>
      <w:r w:rsidR="006D714F" w:rsidRPr="00877253">
        <w:rPr>
          <w:b/>
          <w:lang w:eastAsia="ko-KR"/>
        </w:rPr>
        <w:t>(Islamic Republic of)</w:t>
      </w:r>
      <w:r>
        <w:rPr>
          <w:b/>
          <w:lang w:val="en-NZ" w:eastAsia="ko-KR"/>
        </w:rPr>
        <w:t xml:space="preserve"> – Document APG19-4/INP-87 (IRN)</w:t>
      </w:r>
    </w:p>
    <w:p w14:paraId="11BA084E" w14:textId="77777777" w:rsidR="006D714F" w:rsidRDefault="006D714F" w:rsidP="000901A5">
      <w:pPr>
        <w:spacing w:after="120"/>
        <w:ind w:left="284" w:firstLine="425"/>
        <w:jc w:val="both"/>
      </w:pPr>
      <w:r w:rsidRPr="00BD2BA2">
        <w:t xml:space="preserve">I.R. of Iran supports the Method </w:t>
      </w:r>
      <w:r>
        <w:t>D</w:t>
      </w:r>
      <w:r w:rsidRPr="00BD2BA2">
        <w:t xml:space="preserve"> (</w:t>
      </w:r>
      <w:r w:rsidRPr="000901A5">
        <w:rPr>
          <w:color w:val="000000"/>
        </w:rPr>
        <w:t>No Change</w:t>
      </w:r>
      <w:r w:rsidRPr="00BD2BA2">
        <w:t>) to the ITU’s RR.</w:t>
      </w:r>
    </w:p>
    <w:p w14:paraId="0D4A1717" w14:textId="77777777" w:rsidR="006D714F" w:rsidRDefault="006D714F" w:rsidP="00877253">
      <w:pPr>
        <w:spacing w:after="120"/>
        <w:ind w:firstLine="709"/>
        <w:jc w:val="both"/>
      </w:pPr>
      <w:r>
        <w:rPr>
          <w:lang w:eastAsia="en-GB"/>
        </w:rPr>
        <w:t>Reasons for No Change:</w:t>
      </w:r>
    </w:p>
    <w:p w14:paraId="6E6495A9" w14:textId="77777777" w:rsidR="006D714F" w:rsidRDefault="006D714F" w:rsidP="00877253">
      <w:pPr>
        <w:ind w:left="709"/>
        <w:jc w:val="both"/>
      </w:pPr>
      <w:r>
        <w:t xml:space="preserve">The </w:t>
      </w:r>
      <w:r w:rsidRPr="00000977">
        <w:t xml:space="preserve">band 50-54 MHz is allocated to </w:t>
      </w:r>
      <w:r>
        <w:t xml:space="preserve">fixed, mobile and broadcasting </w:t>
      </w:r>
      <w:r w:rsidRPr="00C0435E">
        <w:t>services</w:t>
      </w:r>
      <w:r>
        <w:t xml:space="preserve"> on primary basis in </w:t>
      </w:r>
      <w:r w:rsidRPr="00BD2BA2">
        <w:t>I.R. of Iran</w:t>
      </w:r>
      <w:r w:rsidRPr="00717BEC">
        <w:t xml:space="preserve"> </w:t>
      </w:r>
      <w:r>
        <w:t>based on</w:t>
      </w:r>
      <w:r w:rsidRPr="004E4FC6">
        <w:t xml:space="preserve"> </w:t>
      </w:r>
      <w:r>
        <w:t xml:space="preserve">footnote </w:t>
      </w:r>
      <w:r w:rsidRPr="00AC5E4C">
        <w:rPr>
          <w:b/>
        </w:rPr>
        <w:t>5.167</w:t>
      </w:r>
      <w:r>
        <w:t xml:space="preserve"> and is widely used by some of these services. Considering that </w:t>
      </w:r>
      <w:r w:rsidRPr="00194D54">
        <w:t>I.R. of Iran</w:t>
      </w:r>
      <w:r>
        <w:t xml:space="preserve"> is on the border of </w:t>
      </w:r>
      <w:r w:rsidRPr="00DE02E4">
        <w:t>Region 1</w:t>
      </w:r>
      <w:r>
        <w:t xml:space="preserve"> on three sides of the country, any decision </w:t>
      </w:r>
      <w:r w:rsidRPr="00BD2BA2">
        <w:t>to the ITU’s RR</w:t>
      </w:r>
      <w:r>
        <w:t xml:space="preserve"> </w:t>
      </w:r>
      <w:r w:rsidRPr="00DE02E4">
        <w:t>in Region 1</w:t>
      </w:r>
      <w:r>
        <w:t xml:space="preserve"> </w:t>
      </w:r>
      <w:r w:rsidRPr="00CB47EB">
        <w:rPr>
          <w:lang w:eastAsia="ja-JP"/>
        </w:rPr>
        <w:t>would affect</w:t>
      </w:r>
      <w:r>
        <w:t xml:space="preserve"> </w:t>
      </w:r>
      <w:r w:rsidRPr="00CB47EB">
        <w:rPr>
          <w:lang w:eastAsia="ja-JP"/>
        </w:rPr>
        <w:t>existing radio systems or services</w:t>
      </w:r>
      <w:r>
        <w:t xml:space="preserve"> and also </w:t>
      </w:r>
      <w:r w:rsidRPr="003F262B">
        <w:t>future plan of this administration in developing new systems and applications</w:t>
      </w:r>
      <w:r>
        <w:t>. So this administration can</w:t>
      </w:r>
      <w:r w:rsidRPr="00DE02E4">
        <w:t xml:space="preserve"> support an allocation in the frequency range 50-54 MHz to the amateur service in Region 1</w:t>
      </w:r>
      <w:r>
        <w:t xml:space="preserve"> on a secondary basis </w:t>
      </w:r>
      <w:r w:rsidRPr="00DE02E4">
        <w:t>only</w:t>
      </w:r>
      <w:r>
        <w:t>:</w:t>
      </w:r>
    </w:p>
    <w:p w14:paraId="23CE591A" w14:textId="53AA6675" w:rsidR="006D714F" w:rsidRDefault="006D714F" w:rsidP="004B62F3">
      <w:pPr>
        <w:pStyle w:val="ListParagraph"/>
        <w:numPr>
          <w:ilvl w:val="0"/>
          <w:numId w:val="35"/>
        </w:numPr>
        <w:spacing w:before="120" w:after="60"/>
        <w:ind w:left="993" w:hanging="284"/>
        <w:jc w:val="both"/>
      </w:pPr>
      <w:r w:rsidRPr="004874D6">
        <w:t>If the studies show that the fixed</w:t>
      </w:r>
      <w:r>
        <w:t xml:space="preserve">, </w:t>
      </w:r>
      <w:r w:rsidRPr="004874D6">
        <w:t>mobile</w:t>
      </w:r>
      <w:r>
        <w:t xml:space="preserve"> and broadcasting</w:t>
      </w:r>
      <w:r w:rsidRPr="004874D6">
        <w:t xml:space="preserve"> services are protected and there will be no unacceptable interference to their stations in these services;</w:t>
      </w:r>
    </w:p>
    <w:p w14:paraId="23AA3470" w14:textId="77777777" w:rsidR="000901A5" w:rsidRDefault="006D714F" w:rsidP="004B62F3">
      <w:pPr>
        <w:pStyle w:val="ListParagraph"/>
        <w:numPr>
          <w:ilvl w:val="0"/>
          <w:numId w:val="35"/>
        </w:numPr>
        <w:tabs>
          <w:tab w:val="left" w:pos="993"/>
        </w:tabs>
        <w:spacing w:before="120" w:after="120"/>
        <w:ind w:left="993" w:hanging="284"/>
        <w:jc w:val="both"/>
      </w:pPr>
      <w:r w:rsidRPr="004874D6">
        <w:lastRenderedPageBreak/>
        <w:t>In the situations that based on the regulations, the amateur service shall not claim protection from harmful interference caused by fixed</w:t>
      </w:r>
      <w:r>
        <w:t>,</w:t>
      </w:r>
      <w:r w:rsidRPr="004874D6">
        <w:t xml:space="preserve"> mobile</w:t>
      </w:r>
      <w:r>
        <w:t xml:space="preserve"> and broadcasting</w:t>
      </w:r>
      <w:r w:rsidRPr="004874D6">
        <w:t xml:space="preserve"> services.</w:t>
      </w:r>
    </w:p>
    <w:p w14:paraId="43384021" w14:textId="00038FA4" w:rsidR="006D714F" w:rsidRDefault="006D714F" w:rsidP="004B62F3">
      <w:pPr>
        <w:pStyle w:val="ListParagraph"/>
        <w:numPr>
          <w:ilvl w:val="0"/>
          <w:numId w:val="35"/>
        </w:numPr>
        <w:tabs>
          <w:tab w:val="left" w:pos="993"/>
        </w:tabs>
        <w:spacing w:before="120"/>
        <w:ind w:left="993" w:hanging="284"/>
        <w:contextualSpacing/>
        <w:jc w:val="both"/>
      </w:pPr>
      <w:r w:rsidRPr="00D82148">
        <w:t>The above conditions shall be part of the footnote allocating the band to Amateur Service in Region 1.</w:t>
      </w:r>
    </w:p>
    <w:p w14:paraId="303D1670" w14:textId="77777777" w:rsidR="006D714F" w:rsidRPr="000901A5" w:rsidRDefault="006D714F" w:rsidP="000901A5">
      <w:pPr>
        <w:tabs>
          <w:tab w:val="left" w:pos="709"/>
        </w:tabs>
        <w:spacing w:before="120"/>
        <w:ind w:left="709"/>
        <w:rPr>
          <w:color w:val="000000"/>
        </w:rPr>
      </w:pPr>
      <w:r w:rsidRPr="004874D6">
        <w:t xml:space="preserve">Results of the studies on sharing amateur service with mobile service which is included in the Report ITU-R M.[AMATEUR_50_MHz] show that </w:t>
      </w:r>
      <w:r w:rsidRPr="000901A5">
        <w:rPr>
          <w:color w:val="000000"/>
        </w:rPr>
        <w:t xml:space="preserve">for protection of the land mobile service from harmful interference, a separation distance in the range of 170 km to more than 500 km in average terrain is needed. In mountainous regions, the separation distances are in about the same range. Dependent on the amateur service application, interference from a single amateur station may simultaneously interfere with more than 25 mobile channels in a range of up to 170 km. </w:t>
      </w:r>
    </w:p>
    <w:p w14:paraId="6001102C" w14:textId="48C45D53" w:rsidR="006D714F" w:rsidRDefault="006D714F" w:rsidP="000901A5">
      <w:pPr>
        <w:spacing w:before="120"/>
        <w:ind w:left="709"/>
      </w:pPr>
      <w:r w:rsidRPr="000901A5">
        <w:rPr>
          <w:color w:val="000000"/>
        </w:rPr>
        <w:t xml:space="preserve">Given the mobile nature of </w:t>
      </w:r>
      <w:r w:rsidRPr="000901A5">
        <w:rPr>
          <w:color w:val="222222"/>
          <w:shd w:val="clear" w:color="auto" w:fill="FFFFFF"/>
        </w:rPr>
        <w:t xml:space="preserve">governmental </w:t>
      </w:r>
      <w:r w:rsidRPr="004874D6">
        <w:t xml:space="preserve">communication systems, </w:t>
      </w:r>
      <w:r w:rsidRPr="000901A5">
        <w:rPr>
          <w:color w:val="000000"/>
        </w:rPr>
        <w:t>n</w:t>
      </w:r>
      <w:r w:rsidRPr="004874D6">
        <w:t>ew and existing amateur service applications (fixed, mobile or portable) using the frequency band of 50-54 MHz, make sharing difficult.</w:t>
      </w:r>
    </w:p>
    <w:p w14:paraId="23D64E30" w14:textId="77777777" w:rsidR="006D714F" w:rsidRPr="004874D6" w:rsidRDefault="006D714F" w:rsidP="000901A5">
      <w:pPr>
        <w:spacing w:before="120"/>
        <w:ind w:left="709"/>
      </w:pPr>
      <w:r>
        <w:t>Also, r</w:t>
      </w:r>
      <w:r w:rsidRPr="004874D6">
        <w:t xml:space="preserve">esults of the studies on sharing amateur service with </w:t>
      </w:r>
      <w:r w:rsidRPr="007F1D34">
        <w:t xml:space="preserve">broadcasting </w:t>
      </w:r>
      <w:r>
        <w:t xml:space="preserve">service </w:t>
      </w:r>
      <w:r w:rsidRPr="007F1D34">
        <w:t xml:space="preserve">have shown that for protection of the broadcasting service </w:t>
      </w:r>
      <w:r w:rsidRPr="000901A5">
        <w:rPr>
          <w:color w:val="000000"/>
        </w:rPr>
        <w:t xml:space="preserve">from harmful interference, a </w:t>
      </w:r>
      <w:r w:rsidRPr="007F1D34">
        <w:t xml:space="preserve">field strength from an amateur station at the edge of the service area of a broadcasting transmitter shall not exceed 6 </w:t>
      </w:r>
      <w:proofErr w:type="gramStart"/>
      <w:r w:rsidRPr="007F1D34">
        <w:t>dB(</w:t>
      </w:r>
      <w:proofErr w:type="spellStart"/>
      <w:proofErr w:type="gramEnd"/>
      <w:r w:rsidRPr="007F1D34">
        <w:t>μV</w:t>
      </w:r>
      <w:proofErr w:type="spellEnd"/>
      <w:r w:rsidRPr="007F1D34">
        <w:t>/m) for 10% of the time at a height of 10 m above ground</w:t>
      </w:r>
      <w:r>
        <w:t xml:space="preserve"> and t</w:t>
      </w:r>
      <w:r w:rsidRPr="007F1D34">
        <w:t>ypical separation distances between amateur service systems and broadcasting service stations would range from 70 to 175 km.</w:t>
      </w:r>
    </w:p>
    <w:p w14:paraId="6F8257FC" w14:textId="77777777" w:rsidR="006D714F" w:rsidRPr="004B62F3" w:rsidRDefault="006D714F" w:rsidP="000901A5">
      <w:pPr>
        <w:spacing w:before="120"/>
        <w:ind w:left="709"/>
        <w:rPr>
          <w:color w:val="000000"/>
        </w:rPr>
      </w:pPr>
      <w:bookmarkStart w:id="2" w:name="_Hlk534813954"/>
      <w:r w:rsidRPr="00C13F1E">
        <w:t xml:space="preserve">In addition, studies on sharing with fixed service as well as </w:t>
      </w:r>
      <w:r w:rsidRPr="00C13F1E">
        <w:rPr>
          <w:color w:val="000000"/>
        </w:rPr>
        <w:t>interference mitigation measures such as coordination between ser</w:t>
      </w:r>
      <w:r w:rsidRPr="00F030B5">
        <w:rPr>
          <w:color w:val="000000"/>
        </w:rPr>
        <w:t>vices in adjacent countries, operational limitation on amateur stations; listen-before-talk operation and technical means such as spread spectrum techniques</w:t>
      </w:r>
      <w:r w:rsidRPr="00F030B5">
        <w:t xml:space="preserve"> have not yet been done.</w:t>
      </w:r>
      <w:r w:rsidRPr="007060E1">
        <w:t xml:space="preserve"> </w:t>
      </w:r>
    </w:p>
    <w:bookmarkEnd w:id="2"/>
    <w:p w14:paraId="76764280" w14:textId="105163CF" w:rsidR="006D714F" w:rsidRDefault="006D714F" w:rsidP="000901A5">
      <w:pPr>
        <w:spacing w:before="120"/>
        <w:ind w:left="709"/>
        <w:jc w:val="both"/>
      </w:pPr>
      <w:r w:rsidRPr="007060E1">
        <w:t xml:space="preserve">Consequently, </w:t>
      </w:r>
      <w:bookmarkStart w:id="3" w:name="_Hlk534815889"/>
      <w:r w:rsidRPr="007060E1">
        <w:t>according</w:t>
      </w:r>
      <w:r w:rsidRPr="00EF22DC">
        <w:t xml:space="preserve"> to the results of the studies</w:t>
      </w:r>
      <w:r>
        <w:t xml:space="preserve"> and above mentioned requirements and explanation and in order to</w:t>
      </w:r>
      <w:r w:rsidRPr="0052508A">
        <w:t xml:space="preserve"> </w:t>
      </w:r>
      <w:r>
        <w:t>a</w:t>
      </w:r>
      <w:r w:rsidRPr="00AB74AE">
        <w:t>void</w:t>
      </w:r>
      <w:r>
        <w:t>ing</w:t>
      </w:r>
      <w:r w:rsidRPr="00AB74AE">
        <w:t xml:space="preserve"> additional restrictions on the operations of land mobile</w:t>
      </w:r>
      <w:r>
        <w:t>,</w:t>
      </w:r>
      <w:r w:rsidRPr="00AB74AE">
        <w:t xml:space="preserve"> f</w:t>
      </w:r>
      <w:r>
        <w:t>ixed and broadcasting services stations and</w:t>
      </w:r>
      <w:r w:rsidRPr="00AB74AE">
        <w:t xml:space="preserve"> possible interf</w:t>
      </w:r>
      <w:r>
        <w:t>erence from the amateur service,</w:t>
      </w:r>
      <w:r w:rsidRPr="00EF22DC">
        <w:t xml:space="preserve"> this </w:t>
      </w:r>
      <w:r>
        <w:t>Administration</w:t>
      </w:r>
      <w:r w:rsidRPr="00EF22DC">
        <w:t xml:space="preserve"> support</w:t>
      </w:r>
      <w:r>
        <w:t>s the M</w:t>
      </w:r>
      <w:r w:rsidRPr="00EF22DC">
        <w:t>ethod D</w:t>
      </w:r>
      <w:r>
        <w:t xml:space="preserve"> (</w:t>
      </w:r>
      <w:r w:rsidRPr="000901A5">
        <w:rPr>
          <w:color w:val="000000"/>
        </w:rPr>
        <w:t>No Change</w:t>
      </w:r>
      <w:r>
        <w:t xml:space="preserve">) of </w:t>
      </w:r>
      <w:r w:rsidRPr="00000977">
        <w:t>CPM text</w:t>
      </w:r>
      <w:r>
        <w:t>.</w:t>
      </w:r>
      <w:bookmarkEnd w:id="3"/>
    </w:p>
    <w:p w14:paraId="6018C67A" w14:textId="5D7277B4" w:rsidR="0099061E" w:rsidRPr="000A0C21" w:rsidRDefault="0099061E" w:rsidP="00877253">
      <w:pPr>
        <w:spacing w:before="240" w:after="120"/>
        <w:jc w:val="both"/>
        <w:rPr>
          <w:b/>
          <w:lang w:val="en-NZ"/>
        </w:rPr>
      </w:pPr>
      <w:r w:rsidRPr="000A0C21">
        <w:rPr>
          <w:b/>
          <w:lang w:val="en-NZ"/>
        </w:rPr>
        <w:t>3.1.5</w:t>
      </w:r>
      <w:r w:rsidRPr="000A0C21">
        <w:rPr>
          <w:b/>
          <w:lang w:val="en-NZ"/>
        </w:rPr>
        <w:tab/>
        <w:t>India – Document APG19-4/INP-113 (IND)</w:t>
      </w:r>
    </w:p>
    <w:p w14:paraId="7A619B42" w14:textId="7F81625A" w:rsidR="0099061E" w:rsidRPr="00D31B97" w:rsidRDefault="0099061E" w:rsidP="004B62F3">
      <w:pPr>
        <w:widowControl w:val="0"/>
        <w:tabs>
          <w:tab w:val="left" w:pos="794"/>
          <w:tab w:val="left" w:pos="1191"/>
          <w:tab w:val="left" w:pos="1588"/>
          <w:tab w:val="left" w:pos="1985"/>
        </w:tabs>
        <w:overflowPunct w:val="0"/>
        <w:autoSpaceDE w:val="0"/>
        <w:autoSpaceDN w:val="0"/>
        <w:adjustRightInd w:val="0"/>
        <w:spacing w:before="120"/>
        <w:ind w:left="709"/>
        <w:textAlignment w:val="baseline"/>
      </w:pPr>
      <w:r w:rsidRPr="00877253">
        <w:t xml:space="preserve">Under Radio Regulation </w:t>
      </w:r>
      <w:r w:rsidRPr="00877253">
        <w:rPr>
          <w:b/>
        </w:rPr>
        <w:t>5.167</w:t>
      </w:r>
      <w:r w:rsidRPr="00877253">
        <w:t xml:space="preserve">, the band 50-54 MHz is allocated to </w:t>
      </w:r>
      <w:r w:rsidRPr="00877253">
        <w:rPr>
          <w:color w:val="000000" w:themeColor="text1"/>
          <w:lang w:eastAsia="ko-KR"/>
        </w:rPr>
        <w:t xml:space="preserve">fixed, mobile and broadcasting services </w:t>
      </w:r>
      <w:r w:rsidRPr="00D31B97">
        <w:rPr>
          <w:color w:val="000000" w:themeColor="text1"/>
          <w:lang w:eastAsia="ko-KR"/>
        </w:rPr>
        <w:t xml:space="preserve">on a primary basis in India and other neighboring countries. Therefore </w:t>
      </w:r>
      <w:r w:rsidRPr="00D31B97">
        <w:t>any changes made to the Radio Regulations under WRC-19 Agenda Item 1.1 shall not adversely impact the current and future broadcasting, fixed and mobile services in the 50–54 MHz frequency band and adjacent frequency bands in India.</w:t>
      </w:r>
    </w:p>
    <w:p w14:paraId="0D8E31C2" w14:textId="4579D50E" w:rsidR="0099061E" w:rsidRPr="00D31B97" w:rsidRDefault="0099061E" w:rsidP="004B62F3">
      <w:pPr>
        <w:widowControl w:val="0"/>
        <w:tabs>
          <w:tab w:val="left" w:pos="794"/>
          <w:tab w:val="left" w:pos="1191"/>
          <w:tab w:val="left" w:pos="1588"/>
          <w:tab w:val="left" w:pos="1985"/>
        </w:tabs>
        <w:overflowPunct w:val="0"/>
        <w:autoSpaceDE w:val="0"/>
        <w:autoSpaceDN w:val="0"/>
        <w:adjustRightInd w:val="0"/>
        <w:spacing w:before="120"/>
        <w:ind w:left="709"/>
        <w:textAlignment w:val="baseline"/>
      </w:pPr>
      <w:r w:rsidRPr="00D31B97">
        <w:t>We therefore support Method B2-An allocation to the amateur service on a secondary basis in</w:t>
      </w:r>
      <w:r w:rsidRPr="00D31B97">
        <w:rPr>
          <w:iCs/>
          <w:lang w:eastAsia="zh-CN"/>
        </w:rPr>
        <w:t xml:space="preserve"> the band </w:t>
      </w:r>
      <w:r w:rsidRPr="00D31B97">
        <w:t>50–51.75 MHz, with appropriate footnotes or appropriate regulatory text to provide protection to services which already have an allocation in the band in India.</w:t>
      </w:r>
    </w:p>
    <w:p w14:paraId="20D87568" w14:textId="0517DA04" w:rsidR="00AF7685" w:rsidRPr="00877253" w:rsidRDefault="00AF7685" w:rsidP="00877253">
      <w:pPr>
        <w:spacing w:before="240" w:after="120"/>
        <w:jc w:val="both"/>
        <w:rPr>
          <w:b/>
          <w:lang w:val="en-NZ" w:eastAsia="ko-KR"/>
        </w:rPr>
      </w:pPr>
      <w:r w:rsidRPr="00877253">
        <w:rPr>
          <w:b/>
          <w:lang w:val="en-NZ" w:eastAsia="ko-KR"/>
        </w:rPr>
        <w:t>3.1.</w:t>
      </w:r>
      <w:r w:rsidR="0099061E" w:rsidRPr="00877253">
        <w:rPr>
          <w:b/>
          <w:lang w:val="en-NZ" w:eastAsia="ko-KR"/>
        </w:rPr>
        <w:t>6</w:t>
      </w:r>
      <w:r w:rsidRPr="00877253">
        <w:rPr>
          <w:b/>
          <w:lang w:val="en-NZ" w:eastAsia="ko-KR"/>
        </w:rPr>
        <w:tab/>
        <w:t xml:space="preserve">Indonesia </w:t>
      </w:r>
      <w:r w:rsidRPr="00877253">
        <w:t xml:space="preserve">- </w:t>
      </w:r>
      <w:r w:rsidR="007074AC" w:rsidRPr="00877253">
        <w:rPr>
          <w:b/>
          <w:lang w:val="en-NZ" w:eastAsia="ko-KR"/>
        </w:rPr>
        <w:t>Document APG19-</w:t>
      </w:r>
      <w:r w:rsidR="0099061E" w:rsidRPr="00877253">
        <w:rPr>
          <w:b/>
          <w:lang w:val="en-NZ" w:eastAsia="ko-KR"/>
        </w:rPr>
        <w:t>4</w:t>
      </w:r>
      <w:r w:rsidR="007074AC" w:rsidRPr="00877253">
        <w:rPr>
          <w:b/>
          <w:lang w:val="en-NZ" w:eastAsia="ko-KR"/>
        </w:rPr>
        <w:t>/INP-</w:t>
      </w:r>
      <w:r w:rsidR="0099061E" w:rsidRPr="00877253">
        <w:rPr>
          <w:b/>
          <w:lang w:val="en-NZ" w:eastAsia="ko-KR"/>
        </w:rPr>
        <w:t>122</w:t>
      </w:r>
      <w:r w:rsidR="007074AC" w:rsidRPr="00877253">
        <w:rPr>
          <w:b/>
          <w:lang w:val="en-NZ" w:eastAsia="ko-KR"/>
        </w:rPr>
        <w:t xml:space="preserve"> (INS</w:t>
      </w:r>
      <w:r w:rsidRPr="00877253">
        <w:rPr>
          <w:b/>
          <w:lang w:val="en-NZ" w:eastAsia="ko-KR"/>
        </w:rPr>
        <w:t>)</w:t>
      </w:r>
    </w:p>
    <w:p w14:paraId="22ADD304" w14:textId="595FBD39" w:rsidR="0099061E" w:rsidRPr="004B62F3" w:rsidRDefault="0099061E" w:rsidP="004B62F3">
      <w:pPr>
        <w:ind w:left="709"/>
        <w:rPr>
          <w:color w:val="000000" w:themeColor="text1"/>
          <w:lang w:eastAsia="zh-CN"/>
        </w:rPr>
      </w:pPr>
      <w:r w:rsidRPr="004B62F3">
        <w:rPr>
          <w:color w:val="000000" w:themeColor="text1"/>
        </w:rPr>
        <w:t xml:space="preserve">Indonesia supports any allocation to the amateur service in Region 1 in the band 50-54 </w:t>
      </w:r>
      <w:proofErr w:type="spellStart"/>
      <w:r w:rsidRPr="004B62F3">
        <w:rPr>
          <w:color w:val="000000" w:themeColor="text1"/>
        </w:rPr>
        <w:t>MHz</w:t>
      </w:r>
      <w:r w:rsidR="000A0C21" w:rsidRPr="004B62F3">
        <w:rPr>
          <w:color w:val="000000" w:themeColor="text1"/>
        </w:rPr>
        <w:t>.</w:t>
      </w:r>
      <w:proofErr w:type="spellEnd"/>
      <w:r w:rsidR="000A0C21" w:rsidRPr="004B62F3">
        <w:rPr>
          <w:color w:val="000000" w:themeColor="text1"/>
        </w:rPr>
        <w:t xml:space="preserve"> </w:t>
      </w:r>
      <w:r w:rsidRPr="004B62F3">
        <w:rPr>
          <w:bCs/>
          <w:color w:val="000000" w:themeColor="text1"/>
          <w:lang w:eastAsia="ko-KR"/>
        </w:rPr>
        <w:t>Any changes made to the Radio Regulation under WRC-19 Agenda Item 1.1 must not impact the existing allocation to the amateur service in 50-54 MHz in Region 3.</w:t>
      </w:r>
    </w:p>
    <w:p w14:paraId="17E31827" w14:textId="155A86D7" w:rsidR="0099061E" w:rsidRDefault="0099061E" w:rsidP="00AF7685">
      <w:pPr>
        <w:spacing w:after="120"/>
        <w:jc w:val="both"/>
        <w:rPr>
          <w:b/>
          <w:lang w:val="en-NZ" w:eastAsia="ko-KR"/>
        </w:rPr>
      </w:pPr>
    </w:p>
    <w:p w14:paraId="7E81F481" w14:textId="6B946CE1" w:rsidR="008454C8" w:rsidRPr="00441526" w:rsidRDefault="008454C8" w:rsidP="008454C8">
      <w:pPr>
        <w:spacing w:after="120"/>
        <w:jc w:val="both"/>
        <w:rPr>
          <w:b/>
          <w:lang w:val="en-NZ"/>
        </w:rPr>
      </w:pPr>
      <w:r w:rsidRPr="00441526">
        <w:rPr>
          <w:b/>
          <w:lang w:val="en-NZ"/>
        </w:rPr>
        <w:lastRenderedPageBreak/>
        <w:t xml:space="preserve">3.2 </w:t>
      </w:r>
      <w:r w:rsidRPr="00441526">
        <w:rPr>
          <w:b/>
          <w:lang w:val="en-NZ"/>
        </w:rPr>
        <w:tab/>
      </w:r>
      <w:r w:rsidR="002475E2" w:rsidRPr="00441526">
        <w:rPr>
          <w:b/>
          <w:lang w:val="en-NZ"/>
        </w:rPr>
        <w:t>S</w:t>
      </w:r>
      <w:r w:rsidR="002475E2" w:rsidRPr="00441526">
        <w:rPr>
          <w:b/>
          <w:lang w:val="en-NZ" w:eastAsia="ko-KR"/>
        </w:rPr>
        <w:t xml:space="preserve">ummary of </w:t>
      </w:r>
      <w:r w:rsidR="00BC69DB" w:rsidRPr="00441526">
        <w:rPr>
          <w:b/>
          <w:lang w:val="en-NZ" w:eastAsia="ko-KR"/>
        </w:rPr>
        <w:t>i</w:t>
      </w:r>
      <w:r w:rsidR="002475E2" w:rsidRPr="00441526">
        <w:rPr>
          <w:b/>
          <w:lang w:val="en-NZ" w:eastAsia="ko-KR"/>
        </w:rPr>
        <w:t xml:space="preserve">ssues </w:t>
      </w:r>
      <w:r w:rsidR="00BC69DB" w:rsidRPr="00441526">
        <w:rPr>
          <w:b/>
          <w:lang w:val="en-NZ" w:eastAsia="ko-KR"/>
        </w:rPr>
        <w:t>raised du</w:t>
      </w:r>
      <w:r w:rsidRPr="00441526">
        <w:rPr>
          <w:b/>
          <w:lang w:val="en-NZ"/>
        </w:rPr>
        <w:t>ring the meeting</w:t>
      </w:r>
    </w:p>
    <w:p w14:paraId="03E060AC" w14:textId="641A4136" w:rsidR="009D3B3C" w:rsidRDefault="00B47374" w:rsidP="004B62F3">
      <w:pPr>
        <w:spacing w:after="120"/>
        <w:rPr>
          <w:lang w:val="en-NZ"/>
        </w:rPr>
      </w:pPr>
      <w:r w:rsidRPr="00F030B5">
        <w:rPr>
          <w:lang w:val="en-NZ"/>
        </w:rPr>
        <w:t>APG19-</w:t>
      </w:r>
      <w:r w:rsidR="000901A5" w:rsidRPr="00F030B5">
        <w:rPr>
          <w:lang w:val="en-NZ"/>
        </w:rPr>
        <w:t>4</w:t>
      </w:r>
      <w:r w:rsidRPr="00F030B5">
        <w:rPr>
          <w:lang w:val="en-NZ"/>
        </w:rPr>
        <w:t xml:space="preserve"> input contributions on WRC-19 Agenda Item 1.1 </w:t>
      </w:r>
      <w:r w:rsidR="000901A5" w:rsidRPr="00F030B5">
        <w:rPr>
          <w:lang w:val="en-NZ"/>
        </w:rPr>
        <w:t>recognise that</w:t>
      </w:r>
      <w:r w:rsidR="000901A5">
        <w:rPr>
          <w:lang w:val="en-NZ"/>
        </w:rPr>
        <w:t xml:space="preserve"> </w:t>
      </w:r>
      <w:r w:rsidR="00192DEF">
        <w:rPr>
          <w:lang w:val="en-NZ"/>
        </w:rPr>
        <w:t>A</w:t>
      </w:r>
      <w:r>
        <w:rPr>
          <w:lang w:val="en-NZ"/>
        </w:rPr>
        <w:t xml:space="preserve">genda item 1.1 is a Region 1 issue </w:t>
      </w:r>
      <w:r w:rsidR="00192DEF">
        <w:rPr>
          <w:lang w:val="en-NZ"/>
        </w:rPr>
        <w:t xml:space="preserve">that could affect some countries in Region 3, </w:t>
      </w:r>
      <w:r>
        <w:rPr>
          <w:lang w:val="en-NZ"/>
        </w:rPr>
        <w:t>and that any changes made to the Radio Regulations sh</w:t>
      </w:r>
      <w:r w:rsidR="00192DEF">
        <w:rPr>
          <w:lang w:val="en-NZ"/>
        </w:rPr>
        <w:t>all</w:t>
      </w:r>
      <w:r>
        <w:rPr>
          <w:lang w:val="en-NZ"/>
        </w:rPr>
        <w:t xml:space="preserve"> not </w:t>
      </w:r>
      <w:r w:rsidR="009B0686" w:rsidRPr="007074AC">
        <w:rPr>
          <w:lang w:val="en-NZ"/>
        </w:rPr>
        <w:t>adversely</w:t>
      </w:r>
      <w:r w:rsidR="009B0686">
        <w:rPr>
          <w:lang w:val="en-NZ"/>
        </w:rPr>
        <w:t xml:space="preserve"> </w:t>
      </w:r>
      <w:r>
        <w:rPr>
          <w:lang w:val="en-NZ"/>
        </w:rPr>
        <w:t xml:space="preserve">impact incumbent services in Region 3. </w:t>
      </w:r>
    </w:p>
    <w:p w14:paraId="01637613" w14:textId="6CE17D4F" w:rsidR="009D3B3C" w:rsidRDefault="00B47374" w:rsidP="004B62F3">
      <w:pPr>
        <w:spacing w:after="120"/>
        <w:rPr>
          <w:lang w:val="en-NZ"/>
        </w:rPr>
      </w:pPr>
      <w:r>
        <w:rPr>
          <w:lang w:val="en-NZ"/>
        </w:rPr>
        <w:t xml:space="preserve">It was noted that the only likely area where </w:t>
      </w:r>
      <w:r w:rsidR="009D3B3C">
        <w:rPr>
          <w:lang w:val="en-NZ"/>
        </w:rPr>
        <w:t>harmful interference</w:t>
      </w:r>
      <w:r>
        <w:rPr>
          <w:lang w:val="en-NZ"/>
        </w:rPr>
        <w:t xml:space="preserve"> could arise is on the Region 1 – Region 3 border and consensus text was developed which specifically covered the incumbent services in the border region.</w:t>
      </w:r>
    </w:p>
    <w:p w14:paraId="1D146652" w14:textId="3EE3F12B" w:rsidR="00497555" w:rsidRDefault="009D3B3C" w:rsidP="004B62F3">
      <w:pPr>
        <w:spacing w:after="240"/>
        <w:rPr>
          <w:lang w:val="en-NZ"/>
        </w:rPr>
      </w:pPr>
      <w:r>
        <w:rPr>
          <w:lang w:val="en-NZ"/>
        </w:rPr>
        <w:t>Considering the studies at ITU-R WP 5A, a</w:t>
      </w:r>
      <w:r w:rsidR="00B47374">
        <w:rPr>
          <w:lang w:val="en-NZ"/>
        </w:rPr>
        <w:t xml:space="preserve">dditional technical and regulatory provisions in the Radio Regulations might </w:t>
      </w:r>
      <w:r>
        <w:rPr>
          <w:lang w:val="en-NZ"/>
        </w:rPr>
        <w:t xml:space="preserve">need to </w:t>
      </w:r>
      <w:r w:rsidR="00B47374">
        <w:rPr>
          <w:lang w:val="en-NZ"/>
        </w:rPr>
        <w:t>be developed</w:t>
      </w:r>
      <w:r w:rsidR="00192DEF">
        <w:rPr>
          <w:lang w:val="en-NZ"/>
        </w:rPr>
        <w:t xml:space="preserve">. </w:t>
      </w:r>
    </w:p>
    <w:p w14:paraId="35981F85" w14:textId="52B8D406" w:rsidR="00703F6F" w:rsidRPr="00441526" w:rsidRDefault="00497555" w:rsidP="004B62F3">
      <w:pPr>
        <w:spacing w:after="240"/>
        <w:rPr>
          <w:lang w:val="en-NZ"/>
        </w:rPr>
      </w:pPr>
      <w:r>
        <w:rPr>
          <w:lang w:val="en-NZ"/>
        </w:rPr>
        <w:t>T</w:t>
      </w:r>
      <w:r w:rsidR="00192DEF">
        <w:rPr>
          <w:lang w:val="en-NZ"/>
        </w:rPr>
        <w:t xml:space="preserve">he Draft CPM Report contains some </w:t>
      </w:r>
      <w:r>
        <w:rPr>
          <w:lang w:val="en-NZ"/>
        </w:rPr>
        <w:t>regulatory provisions for Agenda item 1.1 which appear ambiguous, and this matter should be addressed at CPM19-2</w:t>
      </w:r>
      <w:r w:rsidR="00F030B5">
        <w:rPr>
          <w:lang w:val="en-NZ"/>
        </w:rPr>
        <w:t>.</w:t>
      </w:r>
    </w:p>
    <w:p w14:paraId="2E0E675B" w14:textId="3C40A8E1" w:rsidR="00B64A60" w:rsidRPr="005F2805" w:rsidRDefault="00B64A60" w:rsidP="00B64A60">
      <w:pPr>
        <w:spacing w:after="120"/>
        <w:jc w:val="both"/>
        <w:rPr>
          <w:b/>
          <w:lang w:val="en-NZ" w:eastAsia="ko-KR"/>
        </w:rPr>
      </w:pPr>
      <w:r w:rsidRPr="005F2805">
        <w:rPr>
          <w:b/>
          <w:lang w:val="en-NZ" w:eastAsia="ko-KR"/>
        </w:rPr>
        <w:t xml:space="preserve">4. </w:t>
      </w:r>
      <w:r w:rsidRPr="005F2805">
        <w:rPr>
          <w:b/>
          <w:lang w:val="en-NZ" w:eastAsia="ko-KR"/>
        </w:rPr>
        <w:tab/>
      </w:r>
      <w:r w:rsidR="004465AA" w:rsidRPr="005F2805">
        <w:rPr>
          <w:b/>
          <w:lang w:val="en-NZ" w:eastAsia="ko-KR"/>
        </w:rPr>
        <w:t xml:space="preserve">APT </w:t>
      </w:r>
      <w:r w:rsidRPr="005F2805">
        <w:rPr>
          <w:b/>
          <w:lang w:val="en-NZ" w:eastAsia="ko-KR"/>
        </w:rPr>
        <w:t>Preliminary View</w:t>
      </w:r>
      <w:r w:rsidR="00D53688" w:rsidRPr="005F2805">
        <w:rPr>
          <w:b/>
          <w:lang w:val="en-NZ" w:eastAsia="ko-KR"/>
        </w:rPr>
        <w:t>(s)</w:t>
      </w:r>
    </w:p>
    <w:p w14:paraId="416E176F" w14:textId="19A25B1E" w:rsidR="00D93DA9" w:rsidRPr="005F2805" w:rsidRDefault="003F6F0C" w:rsidP="004B62F3">
      <w:pPr>
        <w:widowControl w:val="0"/>
        <w:tabs>
          <w:tab w:val="left" w:pos="794"/>
          <w:tab w:val="left" w:pos="1191"/>
          <w:tab w:val="left" w:pos="1588"/>
          <w:tab w:val="left" w:pos="1985"/>
        </w:tabs>
        <w:overflowPunct w:val="0"/>
        <w:autoSpaceDE w:val="0"/>
        <w:autoSpaceDN w:val="0"/>
        <w:adjustRightInd w:val="0"/>
        <w:spacing w:before="120"/>
        <w:textAlignment w:val="baseline"/>
      </w:pPr>
      <w:r w:rsidRPr="005F2805">
        <w:t>APT M</w:t>
      </w:r>
      <w:r w:rsidR="0050409D" w:rsidRPr="005F2805">
        <w:t>embers support o</w:t>
      </w:r>
      <w:r w:rsidR="00D93DA9" w:rsidRPr="005F2805">
        <w:t>ngoing ITU-R studies relevant to WRC-</w:t>
      </w:r>
      <w:r w:rsidR="0050409D" w:rsidRPr="005F2805">
        <w:t>19 agenda item 1.1</w:t>
      </w:r>
      <w:r w:rsidR="00D93DA9" w:rsidRPr="005F2805">
        <w:t>.</w:t>
      </w:r>
    </w:p>
    <w:p w14:paraId="20761E0E" w14:textId="151F4467" w:rsidR="007F1545" w:rsidRPr="005F2805" w:rsidRDefault="007F1545" w:rsidP="004B62F3">
      <w:pPr>
        <w:widowControl w:val="0"/>
        <w:tabs>
          <w:tab w:val="left" w:pos="794"/>
          <w:tab w:val="left" w:pos="1191"/>
          <w:tab w:val="left" w:pos="1588"/>
          <w:tab w:val="left" w:pos="1985"/>
        </w:tabs>
        <w:overflowPunct w:val="0"/>
        <w:autoSpaceDE w:val="0"/>
        <w:autoSpaceDN w:val="0"/>
        <w:adjustRightInd w:val="0"/>
        <w:spacing w:before="120" w:after="240"/>
        <w:jc w:val="both"/>
        <w:textAlignment w:val="baseline"/>
      </w:pPr>
      <w:r w:rsidRPr="005F2805">
        <w:t>Noting this</w:t>
      </w:r>
      <w:r w:rsidR="003F6F0C" w:rsidRPr="005F2805">
        <w:t xml:space="preserve"> is a Region 1 issue, APT M</w:t>
      </w:r>
      <w:r w:rsidRPr="005F2805">
        <w:t>embers agree that any changes made to the Radio Regulations under WR</w:t>
      </w:r>
      <w:r w:rsidR="00A65170" w:rsidRPr="005F2805">
        <w:t xml:space="preserve">C-19 Agenda Item 1.1 shall not </w:t>
      </w:r>
      <w:r w:rsidR="009B0686" w:rsidRPr="005F2805">
        <w:t xml:space="preserve">adversely </w:t>
      </w:r>
      <w:r w:rsidR="00A65170" w:rsidRPr="005F2805">
        <w:t>impact t</w:t>
      </w:r>
      <w:r w:rsidRPr="005F2805">
        <w:t xml:space="preserve">he incumbent amateur, broadcasting, fixed and mobile services in the 50–54 MHz frequency band </w:t>
      </w:r>
      <w:r w:rsidR="00A65170" w:rsidRPr="005F2805">
        <w:t xml:space="preserve">and adjacent frequency bands </w:t>
      </w:r>
      <w:r w:rsidRPr="005F2805">
        <w:t>in Region 3.</w:t>
      </w:r>
      <w:r w:rsidR="007B00DF">
        <w:t xml:space="preserve"> </w:t>
      </w:r>
    </w:p>
    <w:p w14:paraId="2E0E675F" w14:textId="0BE740F2" w:rsidR="00B64A60" w:rsidRPr="005F2805" w:rsidRDefault="00B64A60" w:rsidP="00B64A60">
      <w:pPr>
        <w:spacing w:after="120"/>
        <w:jc w:val="both"/>
        <w:rPr>
          <w:b/>
          <w:lang w:val="en-NZ" w:eastAsia="ko-KR"/>
        </w:rPr>
      </w:pPr>
      <w:r w:rsidRPr="005F2805">
        <w:rPr>
          <w:b/>
          <w:lang w:val="en-NZ" w:eastAsia="ko-KR"/>
        </w:rPr>
        <w:t xml:space="preserve">5. </w:t>
      </w:r>
      <w:r w:rsidRPr="005F2805">
        <w:rPr>
          <w:b/>
          <w:lang w:val="en-NZ" w:eastAsia="ko-KR"/>
        </w:rPr>
        <w:tab/>
        <w:t>Other View</w:t>
      </w:r>
      <w:r w:rsidR="00441526" w:rsidRPr="005F2805">
        <w:rPr>
          <w:b/>
          <w:lang w:val="en-NZ" w:eastAsia="ko-KR"/>
        </w:rPr>
        <w:t>(</w:t>
      </w:r>
      <w:r w:rsidRPr="005F2805">
        <w:rPr>
          <w:b/>
          <w:lang w:val="en-NZ" w:eastAsia="ko-KR"/>
        </w:rPr>
        <w:t>s</w:t>
      </w:r>
      <w:r w:rsidR="00441526" w:rsidRPr="005F2805">
        <w:rPr>
          <w:b/>
          <w:lang w:val="en-NZ" w:eastAsia="ko-KR"/>
        </w:rPr>
        <w:t>)</w:t>
      </w:r>
    </w:p>
    <w:p w14:paraId="7207BA94" w14:textId="201BF84A" w:rsidR="002E28D5" w:rsidRPr="00D03053" w:rsidRDefault="002E28D5" w:rsidP="004B62F3">
      <w:pPr>
        <w:spacing w:after="240"/>
        <w:jc w:val="both"/>
        <w:rPr>
          <w:lang w:val="en-NZ" w:eastAsia="ko-KR"/>
        </w:rPr>
      </w:pPr>
      <w:r>
        <w:rPr>
          <w:lang w:val="en-NZ" w:eastAsia="ko-KR"/>
        </w:rPr>
        <w:t>A</w:t>
      </w:r>
      <w:r w:rsidRPr="002E28D5">
        <w:rPr>
          <w:lang w:val="en-NZ" w:eastAsia="ko-KR"/>
        </w:rPr>
        <w:t xml:space="preserve">ccording to the results of the studies and in order to avoiding additional restrictions on the operations of land mobile, fixed and broadcasting services stations and possible interference from </w:t>
      </w:r>
      <w:r>
        <w:rPr>
          <w:lang w:val="en-NZ" w:eastAsia="ko-KR"/>
        </w:rPr>
        <w:t>amateur stations in Region 1, s</w:t>
      </w:r>
      <w:r w:rsidRPr="002E28D5">
        <w:rPr>
          <w:lang w:val="en-NZ" w:eastAsia="ko-KR"/>
        </w:rPr>
        <w:t>ome APT Members bordering Region 1 support Method D – no change to the Radio Regulations.</w:t>
      </w:r>
    </w:p>
    <w:p w14:paraId="3AECC450" w14:textId="77777777" w:rsidR="00DE6735" w:rsidRPr="00441526" w:rsidRDefault="00DE6735" w:rsidP="00DE6735">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7079073E" w14:textId="6A89C268" w:rsidR="00DE6735" w:rsidRDefault="00D03053" w:rsidP="004B62F3">
      <w:pPr>
        <w:ind w:left="348" w:hanging="348"/>
        <w:jc w:val="both"/>
        <w:rPr>
          <w:highlight w:val="yellow"/>
          <w:lang w:val="en-NZ"/>
        </w:rPr>
      </w:pPr>
      <w:r w:rsidRPr="00D03053">
        <w:rPr>
          <w:lang w:val="en-NZ"/>
        </w:rPr>
        <w:t xml:space="preserve">Final development of </w:t>
      </w:r>
      <w:r>
        <w:rPr>
          <w:lang w:val="en-NZ"/>
        </w:rPr>
        <w:t>APG Preliminary View on WRC</w:t>
      </w:r>
      <w:r w:rsidR="00FA7090">
        <w:rPr>
          <w:lang w:val="en-NZ"/>
        </w:rPr>
        <w:t>-</w:t>
      </w:r>
      <w:r>
        <w:rPr>
          <w:lang w:val="en-NZ"/>
        </w:rPr>
        <w:t>19 Agenda Item 1.1</w:t>
      </w:r>
      <w:r w:rsidR="007B00DF">
        <w:rPr>
          <w:lang w:val="en-NZ"/>
        </w:rPr>
        <w:t xml:space="preserve"> </w:t>
      </w:r>
      <w:r w:rsidR="000059AB" w:rsidRPr="00F030B5">
        <w:rPr>
          <w:lang w:val="en-NZ"/>
        </w:rPr>
        <w:t>and possible PACP</w:t>
      </w:r>
      <w:r w:rsidR="00FA5785" w:rsidRPr="00F030B5">
        <w:rPr>
          <w:lang w:val="en-NZ"/>
        </w:rPr>
        <w:t>.</w:t>
      </w:r>
    </w:p>
    <w:p w14:paraId="78A90BB1" w14:textId="08328834" w:rsidR="007B00DF" w:rsidRDefault="007B00DF" w:rsidP="004B62F3">
      <w:pPr>
        <w:ind w:left="348" w:hanging="348"/>
        <w:jc w:val="both"/>
        <w:rPr>
          <w:highlight w:val="yellow"/>
          <w:lang w:val="en-NZ"/>
        </w:rPr>
      </w:pPr>
    </w:p>
    <w:p w14:paraId="159FF2F5" w14:textId="06C3810C" w:rsidR="007B00DF" w:rsidRPr="000059AB" w:rsidRDefault="007B00DF" w:rsidP="007B00DF">
      <w:pPr>
        <w:jc w:val="both"/>
        <w:rPr>
          <w:highlight w:val="yellow"/>
          <w:lang w:val="en-NZ"/>
        </w:rPr>
      </w:pPr>
      <w:r w:rsidRPr="007B00DF">
        <w:rPr>
          <w:lang w:val="en-NZ"/>
        </w:rPr>
        <w:t xml:space="preserve">APT Members are encouraged to contribute to the next APG meeting on Agenda Item 1.1, taking into account the studies of ITU-R WP 5A and </w:t>
      </w:r>
      <w:r w:rsidR="002E28D5">
        <w:rPr>
          <w:lang w:val="en-NZ"/>
        </w:rPr>
        <w:t xml:space="preserve">the outcome of </w:t>
      </w:r>
      <w:r w:rsidRPr="007B00DF">
        <w:rPr>
          <w:lang w:val="en-NZ"/>
        </w:rPr>
        <w:t>CPM 19-2.</w:t>
      </w:r>
    </w:p>
    <w:p w14:paraId="460EDFC9" w14:textId="77777777" w:rsidR="00DE6735" w:rsidRPr="008D5101" w:rsidRDefault="00DE6735" w:rsidP="007B00DF">
      <w:pPr>
        <w:rPr>
          <w:lang w:val="en-NZ"/>
        </w:rPr>
      </w:pPr>
    </w:p>
    <w:p w14:paraId="11DF0159" w14:textId="768B8DF2" w:rsidR="00D53688" w:rsidRPr="00441526" w:rsidRDefault="00DE6735" w:rsidP="004B62F3">
      <w:pPr>
        <w:spacing w:after="120"/>
        <w:rPr>
          <w:b/>
          <w:lang w:val="en-NZ"/>
        </w:rPr>
      </w:pPr>
      <w:r>
        <w:rPr>
          <w:b/>
          <w:lang w:val="en-NZ"/>
        </w:rPr>
        <w:t>7</w:t>
      </w:r>
      <w:r w:rsidR="00D53688" w:rsidRPr="00441526">
        <w:rPr>
          <w:b/>
          <w:lang w:val="en-NZ"/>
        </w:rPr>
        <w:t xml:space="preserve">. </w:t>
      </w:r>
      <w:r w:rsidR="00D53688" w:rsidRPr="00441526">
        <w:rPr>
          <w:b/>
          <w:lang w:val="en-NZ"/>
        </w:rPr>
        <w:tab/>
        <w:t xml:space="preserve">Views from Other </w:t>
      </w:r>
      <w:r w:rsidR="00A564FB" w:rsidRPr="00441526">
        <w:rPr>
          <w:b/>
          <w:lang w:val="en-NZ"/>
        </w:rPr>
        <w:t>Organisations</w:t>
      </w:r>
    </w:p>
    <w:p w14:paraId="5D613D48" w14:textId="1FF3FA69" w:rsidR="003B4FD1" w:rsidRPr="00441526" w:rsidRDefault="00DE6735" w:rsidP="003B4FD1">
      <w:pPr>
        <w:spacing w:after="120"/>
        <w:jc w:val="both"/>
        <w:rPr>
          <w:b/>
          <w:lang w:val="en-NZ" w:eastAsia="ko-KR"/>
        </w:rPr>
      </w:pPr>
      <w:r>
        <w:rPr>
          <w:b/>
          <w:lang w:val="en-NZ" w:eastAsia="ko-KR"/>
        </w:rPr>
        <w:t>7</w:t>
      </w:r>
      <w:r w:rsidR="003B4FD1" w:rsidRPr="00441526">
        <w:rPr>
          <w:b/>
          <w:lang w:val="en-NZ" w:eastAsia="ko-KR"/>
        </w:rPr>
        <w:t xml:space="preserve">.1 </w:t>
      </w:r>
      <w:r w:rsidR="003B4FD1" w:rsidRPr="00441526">
        <w:rPr>
          <w:b/>
          <w:lang w:val="en-NZ" w:eastAsia="ko-KR"/>
        </w:rPr>
        <w:tab/>
        <w:t xml:space="preserve">Regional </w:t>
      </w:r>
      <w:r w:rsidR="009F547A" w:rsidRPr="00441526">
        <w:rPr>
          <w:b/>
          <w:lang w:val="en-NZ" w:eastAsia="ko-KR"/>
        </w:rPr>
        <w:t>Groups</w:t>
      </w:r>
    </w:p>
    <w:p w14:paraId="4933678C" w14:textId="289B2C5F" w:rsidR="003B4FD1" w:rsidRPr="00877253" w:rsidRDefault="00DE6735" w:rsidP="003B4FD1">
      <w:pPr>
        <w:spacing w:after="120"/>
        <w:jc w:val="both"/>
        <w:rPr>
          <w:b/>
          <w:lang w:val="en-NZ" w:eastAsia="ko-KR"/>
        </w:rPr>
      </w:pPr>
      <w:r w:rsidRPr="00877253">
        <w:rPr>
          <w:b/>
          <w:lang w:val="en-NZ" w:eastAsia="ko-KR"/>
        </w:rPr>
        <w:t>7</w:t>
      </w:r>
      <w:r w:rsidR="003B4FD1" w:rsidRPr="00877253">
        <w:rPr>
          <w:b/>
          <w:lang w:val="en-NZ" w:eastAsia="ko-KR"/>
        </w:rPr>
        <w:t xml:space="preserve">.1.1 </w:t>
      </w:r>
      <w:r w:rsidR="003B4FD1" w:rsidRPr="00877253">
        <w:rPr>
          <w:b/>
          <w:lang w:val="en-NZ" w:eastAsia="ko-KR"/>
        </w:rPr>
        <w:tab/>
        <w:t>ASMG</w:t>
      </w:r>
      <w:r w:rsidR="00403C54">
        <w:rPr>
          <w:b/>
          <w:lang w:val="en-NZ" w:eastAsia="ko-KR"/>
        </w:rPr>
        <w:t xml:space="preserve"> - </w:t>
      </w:r>
      <w:r w:rsidR="00403C54" w:rsidRPr="00403C54">
        <w:rPr>
          <w:b/>
          <w:lang w:val="en-NZ" w:eastAsia="ko-KR"/>
        </w:rPr>
        <w:t>Document APG19-4/INP-09</w:t>
      </w:r>
      <w:r w:rsidR="00403C54">
        <w:rPr>
          <w:b/>
          <w:lang w:val="en-NZ" w:eastAsia="ko-KR"/>
        </w:rPr>
        <w:t xml:space="preserve"> </w:t>
      </w:r>
      <w:r w:rsidR="00403C54" w:rsidRPr="00403C54">
        <w:rPr>
          <w:b/>
          <w:lang w:val="en-NZ" w:eastAsia="ko-KR"/>
        </w:rPr>
        <w:t>(Rev.1)</w:t>
      </w:r>
    </w:p>
    <w:p w14:paraId="496F686D" w14:textId="3920D460" w:rsidR="00164DB2" w:rsidRPr="004B62F3" w:rsidRDefault="00164DB2" w:rsidP="004B62F3">
      <w:pPr>
        <w:spacing w:after="120"/>
        <w:ind w:left="709"/>
        <w:jc w:val="both"/>
        <w:rPr>
          <w:lang w:val="en-NZ" w:eastAsia="ko-KR"/>
        </w:rPr>
      </w:pPr>
      <w:r w:rsidRPr="004B62F3">
        <w:rPr>
          <w:lang w:val="en-NZ" w:eastAsia="ko-KR"/>
        </w:rPr>
        <w:t>Some administrations support frequency allocation for amateur service within the band 50-54 MHz on a primary basis.</w:t>
      </w:r>
    </w:p>
    <w:p w14:paraId="7A300970" w14:textId="1FE7196E" w:rsidR="005F2805" w:rsidRPr="004B62F3" w:rsidRDefault="00164DB2" w:rsidP="004B62F3">
      <w:pPr>
        <w:spacing w:after="120"/>
        <w:ind w:left="709"/>
        <w:jc w:val="both"/>
        <w:rPr>
          <w:lang w:val="en-NZ" w:eastAsia="ko-KR"/>
        </w:rPr>
      </w:pPr>
      <w:r w:rsidRPr="004B62F3">
        <w:rPr>
          <w:lang w:val="en-NZ" w:eastAsia="ko-KR"/>
        </w:rPr>
        <w:t>Some administration prefers to wait and follow up the studies at this stage.</w:t>
      </w:r>
      <w:r w:rsidR="005F2805" w:rsidRPr="004B62F3">
        <w:rPr>
          <w:lang w:val="en-NZ" w:eastAsia="ko-KR"/>
        </w:rPr>
        <w:t xml:space="preserve"> </w:t>
      </w:r>
    </w:p>
    <w:p w14:paraId="145E4951" w14:textId="422E3EEE" w:rsidR="0099061E" w:rsidRPr="004B62F3" w:rsidRDefault="00164DB2" w:rsidP="004B62F3">
      <w:pPr>
        <w:spacing w:after="120"/>
        <w:ind w:left="709"/>
        <w:jc w:val="both"/>
        <w:rPr>
          <w:b/>
          <w:lang w:val="en-NZ" w:eastAsia="ko-KR"/>
        </w:rPr>
      </w:pPr>
      <w:r w:rsidRPr="004B62F3">
        <w:rPr>
          <w:lang w:val="en-NZ" w:eastAsia="ko-KR"/>
        </w:rPr>
        <w:t>Some administration doesn’t support frequency allocation for amateur service within the band 50-54 MHz on an initial basis</w:t>
      </w:r>
      <w:r w:rsidR="005F2805" w:rsidRPr="004B62F3">
        <w:rPr>
          <w:lang w:val="en-NZ" w:eastAsia="ko-KR"/>
        </w:rPr>
        <w:t>.</w:t>
      </w:r>
    </w:p>
    <w:p w14:paraId="349D9C1E" w14:textId="4F007DC7" w:rsidR="003B4FD1" w:rsidRPr="00877253" w:rsidRDefault="00DE6735" w:rsidP="00B95B9E">
      <w:pPr>
        <w:spacing w:before="120" w:after="120"/>
        <w:jc w:val="both"/>
        <w:rPr>
          <w:b/>
          <w:lang w:val="en-NZ" w:eastAsia="ko-KR"/>
        </w:rPr>
      </w:pPr>
      <w:r w:rsidRPr="00877253">
        <w:rPr>
          <w:b/>
          <w:lang w:val="en-NZ" w:eastAsia="ko-KR"/>
        </w:rPr>
        <w:t>7</w:t>
      </w:r>
      <w:r w:rsidR="009F547A" w:rsidRPr="00877253">
        <w:rPr>
          <w:b/>
          <w:lang w:val="en-NZ" w:eastAsia="ko-KR"/>
        </w:rPr>
        <w:t>.1</w:t>
      </w:r>
      <w:r w:rsidR="003B4FD1" w:rsidRPr="00877253">
        <w:rPr>
          <w:b/>
          <w:lang w:val="en-NZ" w:eastAsia="ko-KR"/>
        </w:rPr>
        <w:t xml:space="preserve">.2 </w:t>
      </w:r>
      <w:r w:rsidR="003B4FD1" w:rsidRPr="00877253">
        <w:rPr>
          <w:b/>
          <w:lang w:val="en-NZ" w:eastAsia="ko-KR"/>
        </w:rPr>
        <w:tab/>
        <w:t>ATU</w:t>
      </w:r>
      <w:r w:rsidR="009D46CE" w:rsidRPr="00877253">
        <w:rPr>
          <w:b/>
          <w:lang w:val="en-NZ" w:eastAsia="ko-KR"/>
        </w:rPr>
        <w:t xml:space="preserve"> </w:t>
      </w:r>
      <w:r w:rsidR="00403C54">
        <w:rPr>
          <w:b/>
          <w:lang w:val="en-NZ" w:eastAsia="ko-KR"/>
        </w:rPr>
        <w:t xml:space="preserve">- </w:t>
      </w:r>
      <w:r w:rsidR="00403C54" w:rsidRPr="00403C54">
        <w:rPr>
          <w:b/>
          <w:lang w:val="en-NZ" w:eastAsia="ko-KR"/>
        </w:rPr>
        <w:t>Document APG19-4/INP-09 (Rev.1)</w:t>
      </w:r>
    </w:p>
    <w:p w14:paraId="1D7AE7E4" w14:textId="43F6A57A" w:rsidR="003B4FD1" w:rsidRPr="0035612F" w:rsidRDefault="005F2805" w:rsidP="004B62F3">
      <w:pPr>
        <w:ind w:left="709"/>
        <w:rPr>
          <w:lang w:val="en-NZ"/>
        </w:rPr>
      </w:pPr>
      <w:bookmarkStart w:id="4" w:name="_Hlk534563958"/>
      <w:r w:rsidRPr="005F2805">
        <w:rPr>
          <w:lang w:val="en-NZ"/>
        </w:rPr>
        <w:t xml:space="preserve">Method A, which entails an allocation to the amateur service on a primary basis in all the band 50-54 MHz, or part thereof, with appropriate footnotes to provide protection to services which already have an allocation in the band – this preliminary position is therefore in principle and is subject to </w:t>
      </w:r>
      <w:r w:rsidRPr="0035612F">
        <w:rPr>
          <w:lang w:val="en-NZ"/>
        </w:rPr>
        <w:t>favourable compatibility studies with the incumbent services.</w:t>
      </w:r>
    </w:p>
    <w:bookmarkEnd w:id="4"/>
    <w:p w14:paraId="17B0A68B" w14:textId="3371507A" w:rsidR="006D714F" w:rsidRPr="00877253" w:rsidRDefault="00DE6735" w:rsidP="00B95B9E">
      <w:pPr>
        <w:spacing w:before="120" w:after="120"/>
        <w:jc w:val="both"/>
        <w:rPr>
          <w:b/>
          <w:lang w:val="en-NZ" w:eastAsia="ko-KR"/>
        </w:rPr>
      </w:pPr>
      <w:r w:rsidRPr="00877253">
        <w:rPr>
          <w:b/>
          <w:lang w:val="en-NZ" w:eastAsia="ko-KR"/>
        </w:rPr>
        <w:lastRenderedPageBreak/>
        <w:t>7</w:t>
      </w:r>
      <w:r w:rsidR="009F547A" w:rsidRPr="00877253">
        <w:rPr>
          <w:b/>
          <w:lang w:val="en-NZ" w:eastAsia="ko-KR"/>
        </w:rPr>
        <w:t>.1</w:t>
      </w:r>
      <w:r w:rsidR="003B4FD1" w:rsidRPr="00877253">
        <w:rPr>
          <w:b/>
          <w:lang w:val="en-NZ" w:eastAsia="ko-KR"/>
        </w:rPr>
        <w:t>.</w:t>
      </w:r>
      <w:r w:rsidR="00C379AE">
        <w:rPr>
          <w:b/>
          <w:lang w:val="en-NZ" w:eastAsia="ko-KR"/>
        </w:rPr>
        <w:t>3</w:t>
      </w:r>
      <w:r w:rsidR="003B4FD1" w:rsidRPr="00877253">
        <w:rPr>
          <w:b/>
          <w:lang w:val="en-NZ" w:eastAsia="ko-KR"/>
        </w:rPr>
        <w:t xml:space="preserve"> </w:t>
      </w:r>
      <w:r w:rsidR="003B4FD1" w:rsidRPr="00877253">
        <w:rPr>
          <w:b/>
          <w:lang w:val="en-NZ" w:eastAsia="ko-KR"/>
        </w:rPr>
        <w:tab/>
        <w:t>CITEL</w:t>
      </w:r>
      <w:r w:rsidR="00C379AE">
        <w:rPr>
          <w:b/>
          <w:lang w:val="en-NZ" w:eastAsia="ko-KR"/>
        </w:rPr>
        <w:t xml:space="preserve"> – Document APG19-4/INF-22 (CITEL)</w:t>
      </w:r>
    </w:p>
    <w:p w14:paraId="2D6D3C8E" w14:textId="510F9987" w:rsidR="00F030B5" w:rsidRDefault="00C379AE" w:rsidP="00C511B2">
      <w:pPr>
        <w:spacing w:after="120"/>
        <w:ind w:left="709"/>
        <w:jc w:val="both"/>
        <w:rPr>
          <w:b/>
          <w:lang w:val="en-NZ" w:eastAsia="ko-KR"/>
        </w:rPr>
      </w:pPr>
      <w:r w:rsidRPr="00C379AE">
        <w:rPr>
          <w:rFonts w:eastAsia="Times New Roman"/>
          <w:color w:val="000000"/>
        </w:rPr>
        <w:t>Outcome should not impact Region 2 or studies do not support taking action</w:t>
      </w:r>
      <w:r w:rsidR="00843F5E">
        <w:rPr>
          <w:rFonts w:eastAsia="Times New Roman"/>
          <w:color w:val="000000"/>
        </w:rPr>
        <w:t>.</w:t>
      </w:r>
      <w:r w:rsidR="00C511B2">
        <w:rPr>
          <w:rFonts w:eastAsia="Times New Roman"/>
          <w:color w:val="000000"/>
        </w:rPr>
        <w:t xml:space="preserve"> </w:t>
      </w:r>
      <w:bookmarkStart w:id="5" w:name="_GoBack"/>
      <w:bookmarkEnd w:id="5"/>
    </w:p>
    <w:p w14:paraId="59385D32" w14:textId="4B9EFD6E" w:rsidR="00C379AE" w:rsidRPr="00877253" w:rsidRDefault="00C379AE" w:rsidP="00C379AE">
      <w:pPr>
        <w:spacing w:before="120" w:after="120"/>
        <w:jc w:val="both"/>
        <w:rPr>
          <w:b/>
        </w:rPr>
      </w:pPr>
      <w:r w:rsidRPr="00877253">
        <w:rPr>
          <w:b/>
          <w:lang w:val="en-NZ" w:eastAsia="ko-KR"/>
        </w:rPr>
        <w:t>7.1.</w:t>
      </w:r>
      <w:r>
        <w:rPr>
          <w:b/>
          <w:lang w:val="en-NZ" w:eastAsia="ko-KR"/>
        </w:rPr>
        <w:t>4</w:t>
      </w:r>
      <w:r w:rsidRPr="00877253">
        <w:rPr>
          <w:b/>
          <w:lang w:val="en-NZ" w:eastAsia="ko-KR"/>
        </w:rPr>
        <w:t xml:space="preserve"> </w:t>
      </w:r>
      <w:r w:rsidRPr="00877253">
        <w:rPr>
          <w:b/>
          <w:lang w:val="en-NZ" w:eastAsia="ko-KR"/>
        </w:rPr>
        <w:tab/>
      </w:r>
      <w:r w:rsidRPr="00877253">
        <w:rPr>
          <w:b/>
        </w:rPr>
        <w:t>CEPT</w:t>
      </w:r>
      <w:r>
        <w:rPr>
          <w:b/>
        </w:rPr>
        <w:t xml:space="preserve"> – Document APG19-4/INF-23 (CEPT)</w:t>
      </w:r>
    </w:p>
    <w:p w14:paraId="625C2D97" w14:textId="77777777" w:rsidR="00C379AE" w:rsidRPr="004B62F3" w:rsidRDefault="00C379AE" w:rsidP="004B62F3">
      <w:pPr>
        <w:spacing w:before="120" w:after="120"/>
        <w:ind w:left="709"/>
        <w:jc w:val="both"/>
        <w:rPr>
          <w:lang w:val="en-NZ"/>
        </w:rPr>
      </w:pPr>
      <w:r w:rsidRPr="004B62F3">
        <w:rPr>
          <w:lang w:val="en-NZ"/>
        </w:rPr>
        <w:t xml:space="preserve">An allocation of 2 MHz in the frequency range 50-52 MHz to the amateur service in Region 1 on a secondary basis. </w:t>
      </w:r>
    </w:p>
    <w:p w14:paraId="054DDF50" w14:textId="77777777" w:rsidR="00C379AE" w:rsidRPr="004B62F3" w:rsidRDefault="00C379AE" w:rsidP="004B62F3">
      <w:pPr>
        <w:spacing w:before="120" w:after="120"/>
        <w:ind w:left="709"/>
        <w:jc w:val="both"/>
        <w:rPr>
          <w:lang w:val="en-NZ"/>
        </w:rPr>
      </w:pPr>
      <w:r w:rsidRPr="004B62F3">
        <w:rPr>
          <w:lang w:val="en-NZ"/>
        </w:rPr>
        <w:t xml:space="preserve">CEPT is still discussing the future regulatory status of the amateur service in part of the band 50-52 </w:t>
      </w:r>
      <w:proofErr w:type="spellStart"/>
      <w:r w:rsidRPr="004B62F3">
        <w:rPr>
          <w:lang w:val="en-NZ"/>
        </w:rPr>
        <w:t>MHz.</w:t>
      </w:r>
      <w:proofErr w:type="spellEnd"/>
    </w:p>
    <w:p w14:paraId="177CB14B" w14:textId="77777777" w:rsidR="00C379AE" w:rsidRPr="00877253" w:rsidRDefault="00C379AE" w:rsidP="004B62F3">
      <w:pPr>
        <w:ind w:left="709"/>
        <w:rPr>
          <w:lang w:val="en-NZ"/>
        </w:rPr>
      </w:pPr>
      <w:r w:rsidRPr="009624B4">
        <w:rPr>
          <w:lang w:val="en-NZ"/>
        </w:rPr>
        <w:t>CEPT is of the view that the amateur service shall not cause harmful interference to, nor claim protection from harmful interference caused by the incumbent services</w:t>
      </w:r>
      <w:r w:rsidRPr="00877253">
        <w:rPr>
          <w:lang w:val="en-NZ"/>
        </w:rPr>
        <w:t>.</w:t>
      </w:r>
    </w:p>
    <w:p w14:paraId="1541BE92" w14:textId="2B2E5AB6" w:rsidR="00BA6A5D" w:rsidRPr="00877253" w:rsidRDefault="00DE6735" w:rsidP="00B95B9E">
      <w:pPr>
        <w:spacing w:before="120" w:after="120"/>
        <w:jc w:val="both"/>
        <w:rPr>
          <w:b/>
        </w:rPr>
      </w:pPr>
      <w:r w:rsidRPr="00877253">
        <w:rPr>
          <w:b/>
          <w:lang w:val="en-NZ" w:eastAsia="ko-KR"/>
        </w:rPr>
        <w:t>7</w:t>
      </w:r>
      <w:r w:rsidR="009F547A" w:rsidRPr="00877253">
        <w:rPr>
          <w:b/>
          <w:lang w:val="en-NZ" w:eastAsia="ko-KR"/>
        </w:rPr>
        <w:t>.1</w:t>
      </w:r>
      <w:r w:rsidR="003B4FD1" w:rsidRPr="00877253">
        <w:rPr>
          <w:b/>
          <w:lang w:val="en-NZ" w:eastAsia="ko-KR"/>
        </w:rPr>
        <w:t xml:space="preserve">.5 </w:t>
      </w:r>
      <w:r w:rsidR="003B4FD1" w:rsidRPr="00877253">
        <w:rPr>
          <w:b/>
          <w:lang w:val="en-NZ" w:eastAsia="ko-KR"/>
        </w:rPr>
        <w:tab/>
      </w:r>
      <w:r w:rsidR="006D714F" w:rsidRPr="00877253">
        <w:rPr>
          <w:b/>
        </w:rPr>
        <w:t>RCC</w:t>
      </w:r>
      <w:r w:rsidR="00843F5E">
        <w:rPr>
          <w:b/>
        </w:rPr>
        <w:t xml:space="preserve"> – Document APG19-4/INF-24 (RCC)</w:t>
      </w:r>
    </w:p>
    <w:p w14:paraId="3F1FC3E8" w14:textId="28BB01F9" w:rsidR="00C379AE" w:rsidRPr="004B62F3" w:rsidRDefault="00C379AE" w:rsidP="004B62F3">
      <w:pPr>
        <w:spacing w:before="120" w:after="120"/>
        <w:ind w:left="709"/>
        <w:rPr>
          <w:rFonts w:eastAsia="Times New Roman"/>
          <w:color w:val="000000"/>
        </w:rPr>
      </w:pPr>
      <w:r w:rsidRPr="004B62F3">
        <w:rPr>
          <w:rFonts w:eastAsia="Times New Roman"/>
          <w:color w:val="000000"/>
        </w:rPr>
        <w:t>The RCC Administrations consider that in order to decide on possible allocation of the frequency band 50-54 MHz or a part of the band to the amateur service in Region 1, spectrum requirements for the amateur service shall be justified</w:t>
      </w:r>
      <w:r w:rsidR="00843F5E" w:rsidRPr="004B62F3">
        <w:rPr>
          <w:rFonts w:eastAsia="Times New Roman"/>
          <w:color w:val="000000"/>
        </w:rPr>
        <w:t xml:space="preserve"> </w:t>
      </w:r>
      <w:r w:rsidRPr="004B62F3">
        <w:rPr>
          <w:rFonts w:eastAsia="Times New Roman"/>
          <w:color w:val="000000"/>
        </w:rPr>
        <w:t>and agreed upon in ITU-R.</w:t>
      </w:r>
    </w:p>
    <w:p w14:paraId="12ADFA3F" w14:textId="5D465FF6" w:rsidR="00C379AE" w:rsidRPr="004B62F3" w:rsidRDefault="00C379AE" w:rsidP="004B62F3">
      <w:pPr>
        <w:spacing w:before="120" w:after="120"/>
        <w:ind w:left="709"/>
        <w:rPr>
          <w:rFonts w:eastAsia="Times New Roman"/>
          <w:color w:val="000000"/>
        </w:rPr>
      </w:pPr>
      <w:r w:rsidRPr="004B62F3">
        <w:rPr>
          <w:rFonts w:eastAsia="Times New Roman"/>
          <w:color w:val="000000"/>
        </w:rPr>
        <w:t>The RCC Administrations consider that, when identifying technical and regulatory conditions for such allocation, protection shall be ensured to the broadcasting service to which this frequency band is allocated on a primary basis, including stations of the broadcasting service in the frequency band 50-54 MHz, regulated by Stockholm-61 and Geneva-89.</w:t>
      </w:r>
    </w:p>
    <w:p w14:paraId="3D53C98A" w14:textId="0A370D03" w:rsidR="00C379AE" w:rsidRPr="004B62F3" w:rsidRDefault="00C379AE" w:rsidP="004B62F3">
      <w:pPr>
        <w:spacing w:before="120" w:after="120"/>
        <w:ind w:left="709"/>
        <w:rPr>
          <w:rFonts w:eastAsia="Times New Roman"/>
          <w:color w:val="000000"/>
        </w:rPr>
      </w:pPr>
      <w:r w:rsidRPr="004B62F3">
        <w:rPr>
          <w:rFonts w:eastAsia="Times New Roman"/>
          <w:color w:val="000000"/>
        </w:rPr>
        <w:t>The RCC Administrations allow for the possibility of allocation of a part of the frequency band 50-54 MHz to the amateur service on a secondary basis provided that additional measures will be introduced to protect broadcasting service on the border of  an administration using broadcasting service.</w:t>
      </w:r>
    </w:p>
    <w:p w14:paraId="7BC7B0CB" w14:textId="4B2970E8" w:rsidR="003B4FD1" w:rsidRPr="00441526" w:rsidRDefault="00DE6735" w:rsidP="00B95B9E">
      <w:pPr>
        <w:spacing w:before="240" w:after="120"/>
        <w:jc w:val="both"/>
        <w:rPr>
          <w:b/>
          <w:lang w:val="en-NZ" w:eastAsia="ko-KR"/>
        </w:rPr>
      </w:pPr>
      <w:r>
        <w:rPr>
          <w:b/>
          <w:lang w:val="en-NZ" w:eastAsia="ko-KR"/>
        </w:rPr>
        <w:t>7</w:t>
      </w:r>
      <w:r w:rsidR="003B4FD1" w:rsidRPr="00441526">
        <w:rPr>
          <w:b/>
          <w:lang w:val="en-NZ" w:eastAsia="ko-KR"/>
        </w:rPr>
        <w:t xml:space="preserve">.2 </w:t>
      </w:r>
      <w:r w:rsidR="003B4FD1" w:rsidRPr="00441526">
        <w:rPr>
          <w:b/>
          <w:lang w:val="en-NZ" w:eastAsia="ko-KR"/>
        </w:rPr>
        <w:tab/>
      </w:r>
      <w:r w:rsidR="009F547A" w:rsidRPr="00441526">
        <w:rPr>
          <w:b/>
          <w:lang w:val="en-NZ" w:eastAsia="ko-KR"/>
        </w:rPr>
        <w:t xml:space="preserve">International </w:t>
      </w:r>
      <w:r w:rsidR="003B4FD1" w:rsidRPr="00441526">
        <w:rPr>
          <w:b/>
          <w:lang w:val="en-NZ" w:eastAsia="ko-KR"/>
        </w:rPr>
        <w:t>Organisations</w:t>
      </w:r>
    </w:p>
    <w:p w14:paraId="5DC6B780" w14:textId="25E666FA" w:rsidR="00FA7090" w:rsidRPr="00877253" w:rsidRDefault="00FA7090" w:rsidP="00877253">
      <w:pPr>
        <w:spacing w:after="120"/>
        <w:jc w:val="both"/>
        <w:rPr>
          <w:b/>
        </w:rPr>
      </w:pPr>
      <w:r w:rsidRPr="00877253">
        <w:rPr>
          <w:b/>
        </w:rPr>
        <w:t>7.2.</w:t>
      </w:r>
      <w:r w:rsidR="00802C8E" w:rsidRPr="00877253">
        <w:rPr>
          <w:b/>
        </w:rPr>
        <w:t>1</w:t>
      </w:r>
      <w:r w:rsidRPr="00877253">
        <w:tab/>
      </w:r>
      <w:r w:rsidRPr="00877253">
        <w:rPr>
          <w:b/>
        </w:rPr>
        <w:t>W</w:t>
      </w:r>
      <w:r w:rsidR="0099061E" w:rsidRPr="00877253">
        <w:rPr>
          <w:b/>
        </w:rPr>
        <w:t>orld Meteorological Organization – Document APG19-4/INF-</w:t>
      </w:r>
      <w:r w:rsidR="00802C8E" w:rsidRPr="00877253">
        <w:rPr>
          <w:b/>
        </w:rPr>
        <w:t>02 (WMO)</w:t>
      </w:r>
    </w:p>
    <w:p w14:paraId="43D4EC17" w14:textId="77777777" w:rsidR="0099061E" w:rsidRPr="004B62F3" w:rsidRDefault="0099061E" w:rsidP="004B62F3">
      <w:pPr>
        <w:spacing w:before="120"/>
        <w:ind w:left="709"/>
        <w:rPr>
          <w:lang w:val="en-GB"/>
        </w:rPr>
      </w:pPr>
      <w:r w:rsidRPr="004B62F3">
        <w:rPr>
          <w:lang w:val="en-GB"/>
        </w:rPr>
        <w:t>WMO does not oppose an allocation to the amateur service in the 50-54 MHz provided that:</w:t>
      </w:r>
    </w:p>
    <w:p w14:paraId="61D12D6E" w14:textId="217F254C" w:rsidR="0099061E" w:rsidRPr="00877253" w:rsidRDefault="0099061E" w:rsidP="00877253">
      <w:pPr>
        <w:numPr>
          <w:ilvl w:val="0"/>
          <w:numId w:val="32"/>
        </w:numPr>
        <w:ind w:left="1134" w:hanging="284"/>
        <w:rPr>
          <w:lang w:val="en-GB"/>
        </w:rPr>
      </w:pPr>
      <w:r w:rsidRPr="00877253">
        <w:rPr>
          <w:lang w:val="en-GB"/>
        </w:rPr>
        <w:t xml:space="preserve">appropriate protection of the radiolocation service allocated by RR No </w:t>
      </w:r>
      <w:r w:rsidRPr="00877253">
        <w:rPr>
          <w:b/>
          <w:bCs/>
          <w:lang w:val="en-GB"/>
        </w:rPr>
        <w:t>5.162A</w:t>
      </w:r>
      <w:r w:rsidRPr="00877253">
        <w:rPr>
          <w:lang w:val="en-GB"/>
        </w:rPr>
        <w:t xml:space="preserve"> is ensured </w:t>
      </w:r>
      <w:r w:rsidRPr="00877253">
        <w:t>based on a case by case approach;</w:t>
      </w:r>
      <w:r w:rsidRPr="00877253">
        <w:rPr>
          <w:lang w:val="en-GB"/>
        </w:rPr>
        <w:t xml:space="preserve"> and</w:t>
      </w:r>
    </w:p>
    <w:p w14:paraId="30C8D264" w14:textId="5DC674E4" w:rsidR="0099061E" w:rsidRPr="00877253" w:rsidRDefault="0099061E" w:rsidP="00877253">
      <w:pPr>
        <w:numPr>
          <w:ilvl w:val="0"/>
          <w:numId w:val="32"/>
        </w:numPr>
        <w:spacing w:after="240"/>
        <w:ind w:left="1134" w:hanging="283"/>
        <w:rPr>
          <w:lang w:val="en-GB"/>
        </w:rPr>
      </w:pPr>
      <w:proofErr w:type="gramStart"/>
      <w:r w:rsidRPr="00877253">
        <w:rPr>
          <w:lang w:val="en-GB"/>
        </w:rPr>
        <w:t>the</w:t>
      </w:r>
      <w:proofErr w:type="gramEnd"/>
      <w:r w:rsidRPr="00877253">
        <w:rPr>
          <w:lang w:val="en-GB"/>
        </w:rPr>
        <w:t xml:space="preserve"> status of the new allocation to the amateur service provides the radiolocation service equality or precedence relative to the amateur service.</w:t>
      </w:r>
    </w:p>
    <w:p w14:paraId="233C22B7" w14:textId="77777777" w:rsidR="0099061E" w:rsidRPr="004B62F3" w:rsidRDefault="0099061E" w:rsidP="004B62F3">
      <w:pPr>
        <w:ind w:left="567" w:firstLine="142"/>
        <w:rPr>
          <w:lang w:val="en-GB"/>
        </w:rPr>
      </w:pPr>
      <w:r w:rsidRPr="004B62F3">
        <w:rPr>
          <w:lang w:val="en-GB"/>
        </w:rPr>
        <w:t>WMO opposes any new allocation to the amateur-satellite service in this frequency band.</w:t>
      </w:r>
    </w:p>
    <w:p w14:paraId="369A914A" w14:textId="3E7A990E" w:rsidR="009F547A" w:rsidRPr="00877253" w:rsidRDefault="009F547A" w:rsidP="00B64A60">
      <w:pPr>
        <w:rPr>
          <w:lang w:val="en-NZ"/>
        </w:rPr>
      </w:pPr>
    </w:p>
    <w:p w14:paraId="7B3D850A" w14:textId="34CDB98E" w:rsidR="0035612F" w:rsidRPr="00877253" w:rsidRDefault="0035612F" w:rsidP="0035612F">
      <w:pPr>
        <w:rPr>
          <w:rFonts w:eastAsia="Times New Roman"/>
          <w:b/>
          <w:lang w:val="en-GB"/>
        </w:rPr>
      </w:pPr>
      <w:r w:rsidRPr="00877253">
        <w:rPr>
          <w:rFonts w:eastAsia="Times New Roman"/>
          <w:b/>
          <w:lang w:val="en-GB"/>
        </w:rPr>
        <w:t>7.2.</w:t>
      </w:r>
      <w:r>
        <w:rPr>
          <w:rFonts w:eastAsia="Times New Roman"/>
          <w:b/>
          <w:lang w:val="en-GB"/>
        </w:rPr>
        <w:t>2</w:t>
      </w:r>
      <w:r w:rsidRPr="00877253">
        <w:rPr>
          <w:rFonts w:eastAsia="Times New Roman"/>
          <w:b/>
          <w:lang w:val="en-GB"/>
        </w:rPr>
        <w:tab/>
        <w:t>International Civil Aviation Organization – Document APG19-4/INF-04 (ICAO)</w:t>
      </w:r>
    </w:p>
    <w:p w14:paraId="0225C321" w14:textId="77777777" w:rsidR="0035612F" w:rsidRPr="004B62F3" w:rsidRDefault="0035612F" w:rsidP="004B62F3">
      <w:pPr>
        <w:spacing w:before="120"/>
        <w:ind w:left="709"/>
        <w:rPr>
          <w:lang w:val="en-NZ"/>
        </w:rPr>
      </w:pPr>
      <w:r w:rsidRPr="004B62F3">
        <w:rPr>
          <w:rFonts w:eastAsia="Times New Roman"/>
          <w:lang w:val="en-GB"/>
        </w:rPr>
        <w:t>No impact on aeronautical services has been identified from WRC-19 Agenda Item</w:t>
      </w:r>
      <w:r w:rsidRPr="004B62F3">
        <w:rPr>
          <w:rFonts w:eastAsia="Times New Roman"/>
          <w:spacing w:val="-2"/>
          <w:lang w:val="en-GB"/>
        </w:rPr>
        <w:t xml:space="preserve"> </w:t>
      </w:r>
      <w:r w:rsidRPr="004B62F3">
        <w:rPr>
          <w:rFonts w:eastAsia="Times New Roman"/>
          <w:lang w:val="en-GB"/>
        </w:rPr>
        <w:t>1.1.</w:t>
      </w:r>
    </w:p>
    <w:p w14:paraId="0CBB790D" w14:textId="77777777" w:rsidR="0035612F" w:rsidRDefault="0035612F" w:rsidP="00B64A60">
      <w:pPr>
        <w:rPr>
          <w:b/>
          <w:lang w:val="en-NZ"/>
        </w:rPr>
      </w:pPr>
    </w:p>
    <w:p w14:paraId="004E88AE" w14:textId="53544F15" w:rsidR="00802C8E" w:rsidRPr="00877253" w:rsidRDefault="00802C8E" w:rsidP="00B64A60">
      <w:pPr>
        <w:rPr>
          <w:b/>
          <w:lang w:val="en-NZ"/>
        </w:rPr>
      </w:pPr>
      <w:r w:rsidRPr="00877253">
        <w:rPr>
          <w:b/>
          <w:lang w:val="en-NZ"/>
        </w:rPr>
        <w:t>7.2.</w:t>
      </w:r>
      <w:r w:rsidR="0035612F">
        <w:rPr>
          <w:b/>
          <w:lang w:val="en-NZ"/>
        </w:rPr>
        <w:t>3</w:t>
      </w:r>
      <w:r w:rsidRPr="00877253">
        <w:rPr>
          <w:b/>
          <w:lang w:val="en-NZ"/>
        </w:rPr>
        <w:tab/>
        <w:t>International Amateur Radio Union – Document APG19-4/INF-03 (IARU</w:t>
      </w:r>
      <w:r w:rsidR="00E94FBC">
        <w:rPr>
          <w:b/>
          <w:lang w:val="en-NZ"/>
        </w:rPr>
        <w:t xml:space="preserve"> R3</w:t>
      </w:r>
      <w:r w:rsidRPr="00877253">
        <w:rPr>
          <w:b/>
          <w:lang w:val="en-NZ"/>
        </w:rPr>
        <w:t>)</w:t>
      </w:r>
    </w:p>
    <w:p w14:paraId="5FDE1F7A" w14:textId="77777777" w:rsidR="00802C8E" w:rsidRPr="00877253" w:rsidRDefault="00802C8E" w:rsidP="004B62F3">
      <w:pPr>
        <w:pStyle w:val="paragraph"/>
        <w:spacing w:before="120" w:beforeAutospacing="0" w:after="120" w:afterAutospacing="0"/>
        <w:ind w:left="709"/>
        <w:jc w:val="both"/>
        <w:textAlignment w:val="baseline"/>
        <w:rPr>
          <w:kern w:val="2"/>
          <w:lang w:eastAsia="ar-SA"/>
        </w:rPr>
      </w:pPr>
      <w:r w:rsidRPr="00877253">
        <w:rPr>
          <w:kern w:val="2"/>
          <w:lang w:eastAsia="ar-SA"/>
        </w:rPr>
        <w:t xml:space="preserve">The IARU supports modification of the Table of Frequency Allocations to allocate the band 50-54 MHz to the amateur service on a primary basis in Region 1 and so provide a harmonized allocation across all three Regions. The IARU supports Method A </w:t>
      </w:r>
      <w:r w:rsidRPr="00877253">
        <w:rPr>
          <w:rFonts w:eastAsiaTheme="minorEastAsia"/>
          <w:lang w:eastAsia="ja-JP"/>
        </w:rPr>
        <w:t>in</w:t>
      </w:r>
      <w:r w:rsidRPr="00877253">
        <w:rPr>
          <w:rFonts w:eastAsia="Batang"/>
        </w:rPr>
        <w:t xml:space="preserve"> order to achieve inter-regional operability</w:t>
      </w:r>
      <w:r w:rsidRPr="00877253">
        <w:rPr>
          <w:kern w:val="2"/>
          <w:lang w:eastAsia="ar-SA"/>
        </w:rPr>
        <w:t>.</w:t>
      </w:r>
    </w:p>
    <w:p w14:paraId="4F8EA80B" w14:textId="5A2C5F80" w:rsidR="003F307E" w:rsidRPr="00877253" w:rsidRDefault="00802C8E" w:rsidP="004B62F3">
      <w:pPr>
        <w:ind w:left="709"/>
        <w:rPr>
          <w:lang w:val="en-NZ"/>
        </w:rPr>
      </w:pPr>
      <w:r w:rsidRPr="004B62F3">
        <w:rPr>
          <w:color w:val="000000" w:themeColor="text1"/>
        </w:rPr>
        <w:lastRenderedPageBreak/>
        <w:t>Method A: An allocation to the amateur service on a primary basis in all the band 50-54 MHz, or part thereof, with appropriate footnotes to provide protection to services which already have an allocation in the band.</w:t>
      </w:r>
    </w:p>
    <w:p w14:paraId="2E0E6771" w14:textId="7358875D" w:rsidR="00930E64" w:rsidRPr="007673CA" w:rsidRDefault="00B64A60" w:rsidP="00AC5E4C">
      <w:pPr>
        <w:jc w:val="center"/>
        <w:rPr>
          <w:lang w:val="en-NZ"/>
        </w:rPr>
      </w:pPr>
      <w:r w:rsidRPr="00877253">
        <w:rPr>
          <w:lang w:val="en-NZ"/>
        </w:rPr>
        <w:t>____________</w:t>
      </w:r>
    </w:p>
    <w:sectPr w:rsidR="00930E64" w:rsidRPr="007673CA" w:rsidSect="00C511B2">
      <w:headerReference w:type="default" r:id="rId10"/>
      <w:footerReference w:type="even" r:id="rId11"/>
      <w:footerReference w:type="default" r:id="rId12"/>
      <w:footerReference w:type="first" r:id="rId1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AA91C" w14:textId="77777777" w:rsidR="000000AC" w:rsidRDefault="000000AC">
      <w:r>
        <w:separator/>
      </w:r>
    </w:p>
  </w:endnote>
  <w:endnote w:type="continuationSeparator" w:id="0">
    <w:p w14:paraId="2C6AE62E" w14:textId="77777777" w:rsidR="000000AC" w:rsidRDefault="0000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3B49BE" w:rsidRDefault="003B49B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3B49BE" w:rsidRDefault="003B49B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3C83706A" w:rsidR="003B49BE" w:rsidRDefault="003B49BE" w:rsidP="002F0769">
    <w:pPr>
      <w:pStyle w:val="Footer"/>
      <w:ind w:right="360"/>
    </w:pPr>
    <w:r>
      <w:rPr>
        <w:rFonts w:hint="eastAsia"/>
        <w:lang w:eastAsia="ko-KR"/>
      </w:rPr>
      <w:t>A</w:t>
    </w:r>
    <w:r w:rsidR="00660164">
      <w:rPr>
        <w:lang w:eastAsia="ko-KR"/>
      </w:rPr>
      <w:t>PG19-4/OUT-06</w:t>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C211AE">
      <w:rPr>
        <w:rStyle w:val="PageNumber"/>
        <w:noProof/>
      </w:rPr>
      <w:t>6</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C211AE">
      <w:rPr>
        <w:rStyle w:val="PageNumber"/>
        <w:noProof/>
      </w:rPr>
      <w:t>6</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76" w:type="dxa"/>
      <w:tblInd w:w="4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84"/>
      <w:gridCol w:w="4897"/>
      <w:gridCol w:w="3095"/>
    </w:tblGrid>
    <w:tr w:rsidR="003B49BE" w:rsidRPr="0092727B" w14:paraId="272201BF" w14:textId="77777777" w:rsidTr="009624B4">
      <w:trPr>
        <w:trHeight w:val="461"/>
      </w:trPr>
      <w:tc>
        <w:tcPr>
          <w:tcW w:w="1284" w:type="dxa"/>
          <w:tcBorders>
            <w:top w:val="single" w:sz="8" w:space="0" w:color="auto"/>
            <w:bottom w:val="nil"/>
            <w:right w:val="nil"/>
          </w:tcBorders>
        </w:tcPr>
        <w:p w14:paraId="1D06409B" w14:textId="77777777" w:rsidR="003B49BE" w:rsidRDefault="003B49BE" w:rsidP="00B91169">
          <w:pPr>
            <w:pStyle w:val="Footer"/>
            <w:tabs>
              <w:tab w:val="clear" w:pos="4320"/>
              <w:tab w:val="clear" w:pos="8640"/>
            </w:tabs>
            <w:rPr>
              <w:sz w:val="16"/>
              <w:szCs w:val="16"/>
            </w:rPr>
          </w:pPr>
          <w:r>
            <w:rPr>
              <w:b/>
              <w:bCs/>
            </w:rPr>
            <w:t>Contact:</w:t>
          </w:r>
        </w:p>
      </w:tc>
      <w:tc>
        <w:tcPr>
          <w:tcW w:w="4897" w:type="dxa"/>
          <w:tcBorders>
            <w:top w:val="single" w:sz="8" w:space="0" w:color="auto"/>
            <w:left w:val="nil"/>
            <w:bottom w:val="nil"/>
            <w:right w:val="nil"/>
          </w:tcBorders>
        </w:tcPr>
        <w:p w14:paraId="13E93714" w14:textId="6F2BF82B" w:rsidR="003B49BE" w:rsidRDefault="003B49BE" w:rsidP="00B91169">
          <w:pPr>
            <w:pStyle w:val="Footer"/>
            <w:tabs>
              <w:tab w:val="clear" w:pos="4320"/>
              <w:tab w:val="clear" w:pos="8640"/>
            </w:tabs>
          </w:pPr>
          <w:r>
            <w:rPr>
              <w:lang w:eastAsia="ko-KR"/>
            </w:rPr>
            <w:t>MR. BUI HA LONG</w:t>
          </w:r>
        </w:p>
        <w:p w14:paraId="74F2B9A7" w14:textId="77777777" w:rsidR="003B49BE" w:rsidRPr="002A0111" w:rsidRDefault="003B49BE" w:rsidP="00B91169">
          <w:pPr>
            <w:pStyle w:val="Footer"/>
            <w:tabs>
              <w:tab w:val="clear" w:pos="4320"/>
              <w:tab w:val="clear" w:pos="8640"/>
            </w:tabs>
          </w:pPr>
          <w:r>
            <w:t>Chairman, WP 5</w:t>
          </w:r>
        </w:p>
      </w:tc>
      <w:tc>
        <w:tcPr>
          <w:tcW w:w="3095" w:type="dxa"/>
          <w:tcBorders>
            <w:top w:val="single" w:sz="8" w:space="0" w:color="auto"/>
            <w:left w:val="nil"/>
            <w:bottom w:val="nil"/>
          </w:tcBorders>
        </w:tcPr>
        <w:p w14:paraId="1EC92F23" w14:textId="54B0896A" w:rsidR="003B49BE" w:rsidRPr="0092727B" w:rsidRDefault="003B49BE" w:rsidP="00B91169">
          <w:pPr>
            <w:pStyle w:val="Footer"/>
            <w:tabs>
              <w:tab w:val="clear" w:pos="4320"/>
              <w:tab w:val="clear" w:pos="8640"/>
            </w:tabs>
          </w:pPr>
          <w:r>
            <w:t xml:space="preserve">E-mail: </w:t>
          </w:r>
          <w:hyperlink r:id="rId1" w:history="1">
            <w:r w:rsidRPr="00C03814">
              <w:rPr>
                <w:rStyle w:val="Hyperlink"/>
              </w:rPr>
              <w:t>longbh@rfd.gov.vn</w:t>
            </w:r>
          </w:hyperlink>
          <w:r>
            <w:t xml:space="preserve"> </w:t>
          </w:r>
        </w:p>
      </w:tc>
    </w:tr>
  </w:tbl>
  <w:p w14:paraId="2E0E6781" w14:textId="77777777" w:rsidR="003B49BE" w:rsidRPr="00B91169" w:rsidRDefault="003B49BE" w:rsidP="00B91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6CBD3" w14:textId="77777777" w:rsidR="000000AC" w:rsidRDefault="000000AC">
      <w:r>
        <w:separator/>
      </w:r>
    </w:p>
  </w:footnote>
  <w:footnote w:type="continuationSeparator" w:id="0">
    <w:p w14:paraId="708A2E24" w14:textId="77777777" w:rsidR="000000AC" w:rsidRDefault="00000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62311DA9" w:rsidR="003B49BE" w:rsidRDefault="003B49BE" w:rsidP="00C15633">
    <w:pPr>
      <w:pStyle w:val="Header"/>
      <w:tabs>
        <w:tab w:val="center" w:pos="4763"/>
        <w:tab w:val="left" w:pos="5820"/>
      </w:tabs>
      <w:rPr>
        <w:lang w:eastAsia="ko-KR"/>
      </w:rPr>
    </w:pPr>
    <w:r>
      <w:rPr>
        <w:lang w:eastAsia="ko-KR"/>
      </w:rPr>
      <w:tab/>
    </w:r>
  </w:p>
  <w:p w14:paraId="2E0E6779" w14:textId="77777777" w:rsidR="003B49BE" w:rsidRDefault="003B49B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21F"/>
    <w:multiLevelType w:val="hybridMultilevel"/>
    <w:tmpl w:val="6062023A"/>
    <w:lvl w:ilvl="0" w:tplc="26387F42">
      <w:start w:val="1"/>
      <w:numFmt w:val="bullet"/>
      <w:lvlText w:val="−"/>
      <w:lvlJc w:val="left"/>
      <w:pPr>
        <w:ind w:left="840" w:hanging="420"/>
      </w:pPr>
      <w:rPr>
        <w:rFonts w:ascii="Times New Roman" w:hAnsi="Times New Roman"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E794F"/>
    <w:multiLevelType w:val="hybridMultilevel"/>
    <w:tmpl w:val="5DB440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0F427DF1"/>
    <w:multiLevelType w:val="hybridMultilevel"/>
    <w:tmpl w:val="D4B6C51E"/>
    <w:lvl w:ilvl="0" w:tplc="EB549B78">
      <w:start w:val="3"/>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39402E"/>
    <w:multiLevelType w:val="hybridMultilevel"/>
    <w:tmpl w:val="D5EECD24"/>
    <w:lvl w:ilvl="0" w:tplc="7D0CD3BE">
      <w:numFmt w:val="bullet"/>
      <w:lvlText w:val="-"/>
      <w:lvlJc w:val="left"/>
      <w:pPr>
        <w:ind w:left="1429" w:hanging="360"/>
      </w:pPr>
      <w:rPr>
        <w:rFonts w:ascii="Times New Roman" w:eastAsia="MS Mincho" w:hAnsi="Times New Roman" w:cs="Times New Roman" w:hint="default"/>
        <w:sz w:val="24"/>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1A916381"/>
    <w:multiLevelType w:val="hybridMultilevel"/>
    <w:tmpl w:val="3C98FE82"/>
    <w:lvl w:ilvl="0" w:tplc="07629780">
      <w:start w:val="1"/>
      <w:numFmt w:val="bullet"/>
      <w:lvlText w:val="-"/>
      <w:lvlJc w:val="left"/>
      <w:pPr>
        <w:ind w:left="800" w:hanging="400"/>
      </w:pPr>
      <w:rPr>
        <w:rFonts w:ascii="Sylfaen" w:hAnsi="Sylfae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B9853AB"/>
    <w:multiLevelType w:val="hybridMultilevel"/>
    <w:tmpl w:val="F836B8AA"/>
    <w:lvl w:ilvl="0" w:tplc="722A45E8">
      <w:start w:val="2"/>
      <w:numFmt w:val="bullet"/>
      <w:lvlText w:val="-"/>
      <w:lvlJc w:val="left"/>
      <w:pPr>
        <w:ind w:left="1146" w:hanging="360"/>
      </w:pPr>
      <w:rPr>
        <w:rFonts w:ascii="Times New Roman" w:eastAsia="GulimChe"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3E00425"/>
    <w:multiLevelType w:val="hybridMultilevel"/>
    <w:tmpl w:val="7BFE21C6"/>
    <w:lvl w:ilvl="0" w:tplc="7D0CD3BE">
      <w:numFmt w:val="bullet"/>
      <w:lvlText w:val="-"/>
      <w:lvlJc w:val="left"/>
      <w:pPr>
        <w:ind w:left="720" w:hanging="360"/>
      </w:pPr>
      <w:rPr>
        <w:rFonts w:ascii="Times New Roman" w:eastAsia="MS Mincho"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7426E5"/>
    <w:multiLevelType w:val="hybridMultilevel"/>
    <w:tmpl w:val="291C7852"/>
    <w:lvl w:ilvl="0" w:tplc="722A45E8">
      <w:start w:val="2"/>
      <w:numFmt w:val="bullet"/>
      <w:lvlText w:val="-"/>
      <w:lvlJc w:val="left"/>
      <w:pPr>
        <w:ind w:left="1429" w:hanging="360"/>
      </w:pPr>
      <w:rPr>
        <w:rFonts w:ascii="Times New Roman" w:eastAsia="GulimChe" w:hAnsi="Times New Roman" w:cs="Times New Roman" w:hint="default"/>
        <w:sz w:val="24"/>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2A8623AA"/>
    <w:multiLevelType w:val="hybridMultilevel"/>
    <w:tmpl w:val="CE460EA4"/>
    <w:lvl w:ilvl="0" w:tplc="7D0CD3BE">
      <w:numFmt w:val="bullet"/>
      <w:lvlText w:val="-"/>
      <w:lvlJc w:val="left"/>
      <w:pPr>
        <w:ind w:left="720" w:hanging="360"/>
      </w:pPr>
      <w:rPr>
        <w:rFonts w:ascii="Times New Roman" w:eastAsia="MS Mincho"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33254FFC"/>
    <w:multiLevelType w:val="hybridMultilevel"/>
    <w:tmpl w:val="9D2400B2"/>
    <w:lvl w:ilvl="0" w:tplc="7D0CD3BE">
      <w:numFmt w:val="bullet"/>
      <w:lvlText w:val="-"/>
      <w:lvlJc w:val="left"/>
      <w:pPr>
        <w:ind w:left="720" w:hanging="360"/>
      </w:pPr>
      <w:rPr>
        <w:rFonts w:ascii="Times New Roman" w:eastAsia="MS Mincho"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4A32FD"/>
    <w:multiLevelType w:val="hybridMultilevel"/>
    <w:tmpl w:val="96FCBAD8"/>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561778"/>
    <w:multiLevelType w:val="hybridMultilevel"/>
    <w:tmpl w:val="27F66C04"/>
    <w:lvl w:ilvl="0" w:tplc="722A45E8">
      <w:start w:val="2"/>
      <w:numFmt w:val="bullet"/>
      <w:lvlText w:val="-"/>
      <w:lvlJc w:val="left"/>
      <w:pPr>
        <w:ind w:left="1146" w:hanging="360"/>
      </w:pPr>
      <w:rPr>
        <w:rFonts w:ascii="Times New Roman" w:eastAsia="GulimChe" w:hAnsi="Times New Roman" w:cs="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B446891"/>
    <w:multiLevelType w:val="hybridMultilevel"/>
    <w:tmpl w:val="56C68532"/>
    <w:lvl w:ilvl="0" w:tplc="722A45E8">
      <w:start w:val="2"/>
      <w:numFmt w:val="bullet"/>
      <w:lvlText w:val="-"/>
      <w:lvlJc w:val="left"/>
      <w:pPr>
        <w:ind w:left="765" w:hanging="360"/>
      </w:pPr>
      <w:rPr>
        <w:rFonts w:ascii="Times New Roman" w:eastAsia="GulimChe" w:hAnsi="Times New Roman"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E1A4D"/>
    <w:multiLevelType w:val="hybridMultilevel"/>
    <w:tmpl w:val="2F289120"/>
    <w:lvl w:ilvl="0" w:tplc="7D0CD3BE">
      <w:numFmt w:val="bullet"/>
      <w:lvlText w:val="-"/>
      <w:lvlJc w:val="left"/>
      <w:pPr>
        <w:ind w:left="280" w:hanging="360"/>
      </w:pPr>
      <w:rPr>
        <w:rFonts w:ascii="Times New Roman" w:eastAsia="MS Mincho" w:hAnsi="Times New Roman" w:cs="Times New Roman" w:hint="default"/>
        <w:sz w:val="24"/>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6" w15:restartNumberingAfterBreak="0">
    <w:nsid w:val="40995DFE"/>
    <w:multiLevelType w:val="hybridMultilevel"/>
    <w:tmpl w:val="5F20BAD4"/>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B7231"/>
    <w:multiLevelType w:val="hybridMultilevel"/>
    <w:tmpl w:val="0090F202"/>
    <w:lvl w:ilvl="0" w:tplc="722A45E8">
      <w:start w:val="2"/>
      <w:numFmt w:val="bullet"/>
      <w:lvlText w:val="-"/>
      <w:lvlJc w:val="left"/>
      <w:pPr>
        <w:ind w:left="720" w:hanging="360"/>
      </w:pPr>
      <w:rPr>
        <w:rFonts w:ascii="Times New Roman" w:eastAsia="GulimChe"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487478"/>
    <w:multiLevelType w:val="hybridMultilevel"/>
    <w:tmpl w:val="D144C162"/>
    <w:lvl w:ilvl="0" w:tplc="4636D17E">
      <w:start w:val="1"/>
      <w:numFmt w:val="bullet"/>
      <w:lvlText w:val="o"/>
      <w:lvlJc w:val="left"/>
      <w:pPr>
        <w:tabs>
          <w:tab w:val="num" w:pos="720"/>
        </w:tabs>
        <w:ind w:left="720" w:hanging="360"/>
      </w:pPr>
      <w:rPr>
        <w:rFonts w:ascii="Courier New" w:hAnsi="Courier New" w:hint="default"/>
      </w:rPr>
    </w:lvl>
    <w:lvl w:ilvl="1" w:tplc="7200CAFC">
      <w:start w:val="1"/>
      <w:numFmt w:val="bullet"/>
      <w:lvlText w:val="o"/>
      <w:lvlJc w:val="left"/>
      <w:pPr>
        <w:tabs>
          <w:tab w:val="num" w:pos="1440"/>
        </w:tabs>
        <w:ind w:left="1440" w:hanging="360"/>
      </w:pPr>
      <w:rPr>
        <w:rFonts w:ascii="Courier New" w:hAnsi="Courier New" w:hint="default"/>
      </w:rPr>
    </w:lvl>
    <w:lvl w:ilvl="2" w:tplc="C0F4C79C" w:tentative="1">
      <w:start w:val="1"/>
      <w:numFmt w:val="bullet"/>
      <w:lvlText w:val="o"/>
      <w:lvlJc w:val="left"/>
      <w:pPr>
        <w:tabs>
          <w:tab w:val="num" w:pos="2160"/>
        </w:tabs>
        <w:ind w:left="2160" w:hanging="360"/>
      </w:pPr>
      <w:rPr>
        <w:rFonts w:ascii="Courier New" w:hAnsi="Courier New" w:hint="default"/>
      </w:rPr>
    </w:lvl>
    <w:lvl w:ilvl="3" w:tplc="454CDF3E" w:tentative="1">
      <w:start w:val="1"/>
      <w:numFmt w:val="bullet"/>
      <w:lvlText w:val="o"/>
      <w:lvlJc w:val="left"/>
      <w:pPr>
        <w:tabs>
          <w:tab w:val="num" w:pos="2880"/>
        </w:tabs>
        <w:ind w:left="2880" w:hanging="360"/>
      </w:pPr>
      <w:rPr>
        <w:rFonts w:ascii="Courier New" w:hAnsi="Courier New" w:hint="default"/>
      </w:rPr>
    </w:lvl>
    <w:lvl w:ilvl="4" w:tplc="11AEB594" w:tentative="1">
      <w:start w:val="1"/>
      <w:numFmt w:val="bullet"/>
      <w:lvlText w:val="o"/>
      <w:lvlJc w:val="left"/>
      <w:pPr>
        <w:tabs>
          <w:tab w:val="num" w:pos="3600"/>
        </w:tabs>
        <w:ind w:left="3600" w:hanging="360"/>
      </w:pPr>
      <w:rPr>
        <w:rFonts w:ascii="Courier New" w:hAnsi="Courier New" w:hint="default"/>
      </w:rPr>
    </w:lvl>
    <w:lvl w:ilvl="5" w:tplc="74C8C260" w:tentative="1">
      <w:start w:val="1"/>
      <w:numFmt w:val="bullet"/>
      <w:lvlText w:val="o"/>
      <w:lvlJc w:val="left"/>
      <w:pPr>
        <w:tabs>
          <w:tab w:val="num" w:pos="4320"/>
        </w:tabs>
        <w:ind w:left="4320" w:hanging="360"/>
      </w:pPr>
      <w:rPr>
        <w:rFonts w:ascii="Courier New" w:hAnsi="Courier New" w:hint="default"/>
      </w:rPr>
    </w:lvl>
    <w:lvl w:ilvl="6" w:tplc="7478859C" w:tentative="1">
      <w:start w:val="1"/>
      <w:numFmt w:val="bullet"/>
      <w:lvlText w:val="o"/>
      <w:lvlJc w:val="left"/>
      <w:pPr>
        <w:tabs>
          <w:tab w:val="num" w:pos="5040"/>
        </w:tabs>
        <w:ind w:left="5040" w:hanging="360"/>
      </w:pPr>
      <w:rPr>
        <w:rFonts w:ascii="Courier New" w:hAnsi="Courier New" w:hint="default"/>
      </w:rPr>
    </w:lvl>
    <w:lvl w:ilvl="7" w:tplc="31C248EA" w:tentative="1">
      <w:start w:val="1"/>
      <w:numFmt w:val="bullet"/>
      <w:lvlText w:val="o"/>
      <w:lvlJc w:val="left"/>
      <w:pPr>
        <w:tabs>
          <w:tab w:val="num" w:pos="5760"/>
        </w:tabs>
        <w:ind w:left="5760" w:hanging="360"/>
      </w:pPr>
      <w:rPr>
        <w:rFonts w:ascii="Courier New" w:hAnsi="Courier New" w:hint="default"/>
      </w:rPr>
    </w:lvl>
    <w:lvl w:ilvl="8" w:tplc="C7E4005A"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6"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21"/>
  </w:num>
  <w:num w:numId="2">
    <w:abstractNumId w:val="12"/>
  </w:num>
  <w:num w:numId="3">
    <w:abstractNumId w:val="10"/>
  </w:num>
  <w:num w:numId="4">
    <w:abstractNumId w:val="32"/>
  </w:num>
  <w:num w:numId="5">
    <w:abstractNumId w:val="17"/>
  </w:num>
  <w:num w:numId="6">
    <w:abstractNumId w:val="22"/>
  </w:num>
  <w:num w:numId="7">
    <w:abstractNumId w:val="8"/>
  </w:num>
  <w:num w:numId="8">
    <w:abstractNumId w:val="3"/>
  </w:num>
  <w:num w:numId="9">
    <w:abstractNumId w:val="35"/>
  </w:num>
  <w:num w:numId="10">
    <w:abstractNumId w:val="31"/>
  </w:num>
  <w:num w:numId="11">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6"/>
  </w:num>
  <w:num w:numId="17">
    <w:abstractNumId w:val="30"/>
  </w:num>
  <w:num w:numId="18">
    <w:abstractNumId w:val="25"/>
  </w:num>
  <w:num w:numId="19">
    <w:abstractNumId w:val="34"/>
  </w:num>
  <w:num w:numId="20">
    <w:abstractNumId w:val="16"/>
  </w:num>
  <w:num w:numId="21">
    <w:abstractNumId w:val="33"/>
  </w:num>
  <w:num w:numId="22">
    <w:abstractNumId w:val="37"/>
  </w:num>
  <w:num w:numId="23">
    <w:abstractNumId w:val="0"/>
  </w:num>
  <w:num w:numId="24">
    <w:abstractNumId w:val="0"/>
  </w:num>
  <w:num w:numId="25">
    <w:abstractNumId w:val="2"/>
  </w:num>
  <w:num w:numId="26">
    <w:abstractNumId w:val="26"/>
  </w:num>
  <w:num w:numId="27">
    <w:abstractNumId w:val="24"/>
  </w:num>
  <w:num w:numId="28">
    <w:abstractNumId w:val="6"/>
  </w:num>
  <w:num w:numId="29">
    <w:abstractNumId w:val="28"/>
  </w:num>
  <w:num w:numId="30">
    <w:abstractNumId w:val="24"/>
  </w:num>
  <w:num w:numId="31">
    <w:abstractNumId w:val="14"/>
  </w:num>
  <w:num w:numId="32">
    <w:abstractNumId w:val="4"/>
  </w:num>
  <w:num w:numId="33">
    <w:abstractNumId w:val="18"/>
  </w:num>
  <w:num w:numId="34">
    <w:abstractNumId w:val="11"/>
  </w:num>
  <w:num w:numId="35">
    <w:abstractNumId w:val="23"/>
  </w:num>
  <w:num w:numId="36">
    <w:abstractNumId w:val="5"/>
  </w:num>
  <w:num w:numId="37">
    <w:abstractNumId w:val="15"/>
  </w:num>
  <w:num w:numId="38">
    <w:abstractNumId w:val="27"/>
  </w:num>
  <w:num w:numId="39">
    <w:abstractNumId w:val="19"/>
  </w:num>
  <w:num w:numId="40">
    <w:abstractNumId w:val="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0AC"/>
    <w:rsid w:val="000059AB"/>
    <w:rsid w:val="00010C8E"/>
    <w:rsid w:val="00031CAE"/>
    <w:rsid w:val="0003595B"/>
    <w:rsid w:val="00036517"/>
    <w:rsid w:val="00036CC9"/>
    <w:rsid w:val="00040149"/>
    <w:rsid w:val="00070642"/>
    <w:rsid w:val="000713CF"/>
    <w:rsid w:val="00075C14"/>
    <w:rsid w:val="00081599"/>
    <w:rsid w:val="000822B5"/>
    <w:rsid w:val="000901A5"/>
    <w:rsid w:val="00094B87"/>
    <w:rsid w:val="000A012B"/>
    <w:rsid w:val="000A0C21"/>
    <w:rsid w:val="000A5418"/>
    <w:rsid w:val="000B316D"/>
    <w:rsid w:val="000F345F"/>
    <w:rsid w:val="000F517C"/>
    <w:rsid w:val="000F5540"/>
    <w:rsid w:val="00105F1A"/>
    <w:rsid w:val="0012452D"/>
    <w:rsid w:val="00125FBD"/>
    <w:rsid w:val="001409B2"/>
    <w:rsid w:val="00152636"/>
    <w:rsid w:val="001539DD"/>
    <w:rsid w:val="00154618"/>
    <w:rsid w:val="00156782"/>
    <w:rsid w:val="00164DB2"/>
    <w:rsid w:val="00165F01"/>
    <w:rsid w:val="001731F4"/>
    <w:rsid w:val="001916F2"/>
    <w:rsid w:val="00192DEF"/>
    <w:rsid w:val="001930A7"/>
    <w:rsid w:val="00196568"/>
    <w:rsid w:val="00197C18"/>
    <w:rsid w:val="001A2F16"/>
    <w:rsid w:val="001B1804"/>
    <w:rsid w:val="001B18C2"/>
    <w:rsid w:val="001C231D"/>
    <w:rsid w:val="001C443F"/>
    <w:rsid w:val="001C61A5"/>
    <w:rsid w:val="001C6707"/>
    <w:rsid w:val="001D1B86"/>
    <w:rsid w:val="001D5D7E"/>
    <w:rsid w:val="001D7040"/>
    <w:rsid w:val="001E593B"/>
    <w:rsid w:val="001F5947"/>
    <w:rsid w:val="00202410"/>
    <w:rsid w:val="00204B88"/>
    <w:rsid w:val="00214A0C"/>
    <w:rsid w:val="0021588B"/>
    <w:rsid w:val="002161B6"/>
    <w:rsid w:val="002216AC"/>
    <w:rsid w:val="002475E2"/>
    <w:rsid w:val="002506D2"/>
    <w:rsid w:val="00250DE2"/>
    <w:rsid w:val="00254A1B"/>
    <w:rsid w:val="0026064A"/>
    <w:rsid w:val="00264566"/>
    <w:rsid w:val="002734CA"/>
    <w:rsid w:val="002811DE"/>
    <w:rsid w:val="0028454D"/>
    <w:rsid w:val="00291C9E"/>
    <w:rsid w:val="002926D4"/>
    <w:rsid w:val="0029734E"/>
    <w:rsid w:val="002A3CF5"/>
    <w:rsid w:val="002B06A3"/>
    <w:rsid w:val="002B435C"/>
    <w:rsid w:val="002B447F"/>
    <w:rsid w:val="002C07DA"/>
    <w:rsid w:val="002C2A49"/>
    <w:rsid w:val="002C7EA9"/>
    <w:rsid w:val="002E28D5"/>
    <w:rsid w:val="002F0769"/>
    <w:rsid w:val="002F575D"/>
    <w:rsid w:val="003113D7"/>
    <w:rsid w:val="00311E8A"/>
    <w:rsid w:val="00342F20"/>
    <w:rsid w:val="00347A39"/>
    <w:rsid w:val="0035612F"/>
    <w:rsid w:val="00360377"/>
    <w:rsid w:val="00366548"/>
    <w:rsid w:val="003679D3"/>
    <w:rsid w:val="0038005B"/>
    <w:rsid w:val="003809C7"/>
    <w:rsid w:val="0038236C"/>
    <w:rsid w:val="00392873"/>
    <w:rsid w:val="00393DCD"/>
    <w:rsid w:val="00395B40"/>
    <w:rsid w:val="003A2006"/>
    <w:rsid w:val="003A6568"/>
    <w:rsid w:val="003B49BE"/>
    <w:rsid w:val="003B4FD1"/>
    <w:rsid w:val="003B6263"/>
    <w:rsid w:val="003C29E6"/>
    <w:rsid w:val="003C64A7"/>
    <w:rsid w:val="003D1128"/>
    <w:rsid w:val="003D1671"/>
    <w:rsid w:val="003D3FDA"/>
    <w:rsid w:val="003D6D00"/>
    <w:rsid w:val="003E166F"/>
    <w:rsid w:val="003E59E3"/>
    <w:rsid w:val="003F307E"/>
    <w:rsid w:val="003F6F0C"/>
    <w:rsid w:val="004001E5"/>
    <w:rsid w:val="00403C54"/>
    <w:rsid w:val="0041313C"/>
    <w:rsid w:val="00420822"/>
    <w:rsid w:val="00420C74"/>
    <w:rsid w:val="00434BB8"/>
    <w:rsid w:val="00441526"/>
    <w:rsid w:val="004465AA"/>
    <w:rsid w:val="00446A5E"/>
    <w:rsid w:val="0045458F"/>
    <w:rsid w:val="004633B4"/>
    <w:rsid w:val="00493F8F"/>
    <w:rsid w:val="0049492F"/>
    <w:rsid w:val="00495CED"/>
    <w:rsid w:val="00497555"/>
    <w:rsid w:val="004A2F96"/>
    <w:rsid w:val="004B3553"/>
    <w:rsid w:val="004B3F4B"/>
    <w:rsid w:val="004B62F3"/>
    <w:rsid w:val="004C2784"/>
    <w:rsid w:val="004D0FD0"/>
    <w:rsid w:val="004E1FCA"/>
    <w:rsid w:val="004E47D6"/>
    <w:rsid w:val="004F0093"/>
    <w:rsid w:val="004F34D7"/>
    <w:rsid w:val="00503189"/>
    <w:rsid w:val="0050409D"/>
    <w:rsid w:val="00526D01"/>
    <w:rsid w:val="00530E8C"/>
    <w:rsid w:val="00535D34"/>
    <w:rsid w:val="005365DD"/>
    <w:rsid w:val="00545933"/>
    <w:rsid w:val="00552105"/>
    <w:rsid w:val="00552FD5"/>
    <w:rsid w:val="00554CC9"/>
    <w:rsid w:val="005562F2"/>
    <w:rsid w:val="00557544"/>
    <w:rsid w:val="00565BBB"/>
    <w:rsid w:val="00585F3C"/>
    <w:rsid w:val="00586CA0"/>
    <w:rsid w:val="00587875"/>
    <w:rsid w:val="00594942"/>
    <w:rsid w:val="005A63EB"/>
    <w:rsid w:val="005A730A"/>
    <w:rsid w:val="005B0876"/>
    <w:rsid w:val="005C33B6"/>
    <w:rsid w:val="005D6202"/>
    <w:rsid w:val="005D6E98"/>
    <w:rsid w:val="005F2805"/>
    <w:rsid w:val="00607E2B"/>
    <w:rsid w:val="006139D6"/>
    <w:rsid w:val="00616D1B"/>
    <w:rsid w:val="00623CE1"/>
    <w:rsid w:val="00627880"/>
    <w:rsid w:val="0063062B"/>
    <w:rsid w:val="00634A82"/>
    <w:rsid w:val="00637351"/>
    <w:rsid w:val="00640AC5"/>
    <w:rsid w:val="00642A26"/>
    <w:rsid w:val="00646166"/>
    <w:rsid w:val="00654896"/>
    <w:rsid w:val="00660164"/>
    <w:rsid w:val="006621F0"/>
    <w:rsid w:val="006647BA"/>
    <w:rsid w:val="00667229"/>
    <w:rsid w:val="006720FD"/>
    <w:rsid w:val="0067456F"/>
    <w:rsid w:val="00682BE5"/>
    <w:rsid w:val="00683846"/>
    <w:rsid w:val="00690FED"/>
    <w:rsid w:val="006939A5"/>
    <w:rsid w:val="00693C7A"/>
    <w:rsid w:val="006D5223"/>
    <w:rsid w:val="006D714F"/>
    <w:rsid w:val="006E12FC"/>
    <w:rsid w:val="006E2631"/>
    <w:rsid w:val="006F0F24"/>
    <w:rsid w:val="006F1127"/>
    <w:rsid w:val="006F2B2E"/>
    <w:rsid w:val="006F6A5C"/>
    <w:rsid w:val="00703F6F"/>
    <w:rsid w:val="007052B3"/>
    <w:rsid w:val="00705962"/>
    <w:rsid w:val="007074AC"/>
    <w:rsid w:val="00707C21"/>
    <w:rsid w:val="00712451"/>
    <w:rsid w:val="00717DE9"/>
    <w:rsid w:val="0072518B"/>
    <w:rsid w:val="00731041"/>
    <w:rsid w:val="007316F7"/>
    <w:rsid w:val="007329E4"/>
    <w:rsid w:val="00732F08"/>
    <w:rsid w:val="007342F0"/>
    <w:rsid w:val="0074190C"/>
    <w:rsid w:val="0075493D"/>
    <w:rsid w:val="007612D5"/>
    <w:rsid w:val="00762576"/>
    <w:rsid w:val="007673CA"/>
    <w:rsid w:val="00791060"/>
    <w:rsid w:val="007926EA"/>
    <w:rsid w:val="007B00DF"/>
    <w:rsid w:val="007B5626"/>
    <w:rsid w:val="007B6124"/>
    <w:rsid w:val="007D3C53"/>
    <w:rsid w:val="007E3A0F"/>
    <w:rsid w:val="007F1545"/>
    <w:rsid w:val="007F2628"/>
    <w:rsid w:val="007F2FBA"/>
    <w:rsid w:val="00800C3A"/>
    <w:rsid w:val="00802C8E"/>
    <w:rsid w:val="0080570B"/>
    <w:rsid w:val="008148E1"/>
    <w:rsid w:val="008205AF"/>
    <w:rsid w:val="00824371"/>
    <w:rsid w:val="008319BF"/>
    <w:rsid w:val="008347C0"/>
    <w:rsid w:val="008415F0"/>
    <w:rsid w:val="008420F2"/>
    <w:rsid w:val="008433C2"/>
    <w:rsid w:val="00843F5E"/>
    <w:rsid w:val="00844457"/>
    <w:rsid w:val="00844C14"/>
    <w:rsid w:val="008454C8"/>
    <w:rsid w:val="00851D78"/>
    <w:rsid w:val="00852AF6"/>
    <w:rsid w:val="00861994"/>
    <w:rsid w:val="00877253"/>
    <w:rsid w:val="008A016F"/>
    <w:rsid w:val="008A1A0D"/>
    <w:rsid w:val="008A72E1"/>
    <w:rsid w:val="008A76ED"/>
    <w:rsid w:val="008B3C72"/>
    <w:rsid w:val="008B6D87"/>
    <w:rsid w:val="008D0E09"/>
    <w:rsid w:val="008D5101"/>
    <w:rsid w:val="008F4EF4"/>
    <w:rsid w:val="00902503"/>
    <w:rsid w:val="00903007"/>
    <w:rsid w:val="00923816"/>
    <w:rsid w:val="0092693F"/>
    <w:rsid w:val="0093074B"/>
    <w:rsid w:val="00930E64"/>
    <w:rsid w:val="00943CF9"/>
    <w:rsid w:val="00943FC7"/>
    <w:rsid w:val="00956F8C"/>
    <w:rsid w:val="00961D57"/>
    <w:rsid w:val="009624B4"/>
    <w:rsid w:val="00976716"/>
    <w:rsid w:val="0097693B"/>
    <w:rsid w:val="009840FC"/>
    <w:rsid w:val="00984317"/>
    <w:rsid w:val="0099061E"/>
    <w:rsid w:val="00993355"/>
    <w:rsid w:val="009963F7"/>
    <w:rsid w:val="009A11CB"/>
    <w:rsid w:val="009A4A6D"/>
    <w:rsid w:val="009B0686"/>
    <w:rsid w:val="009B44DD"/>
    <w:rsid w:val="009B7E42"/>
    <w:rsid w:val="009C5E32"/>
    <w:rsid w:val="009D3B3C"/>
    <w:rsid w:val="009D46CE"/>
    <w:rsid w:val="009D4ADA"/>
    <w:rsid w:val="009D7792"/>
    <w:rsid w:val="009E13DD"/>
    <w:rsid w:val="009F547A"/>
    <w:rsid w:val="00A0503B"/>
    <w:rsid w:val="00A059CD"/>
    <w:rsid w:val="00A13265"/>
    <w:rsid w:val="00A14900"/>
    <w:rsid w:val="00A2159F"/>
    <w:rsid w:val="00A529BC"/>
    <w:rsid w:val="00A5346C"/>
    <w:rsid w:val="00A53F51"/>
    <w:rsid w:val="00A562F0"/>
    <w:rsid w:val="00A564FB"/>
    <w:rsid w:val="00A614C1"/>
    <w:rsid w:val="00A61EA6"/>
    <w:rsid w:val="00A65170"/>
    <w:rsid w:val="00A657BF"/>
    <w:rsid w:val="00A71136"/>
    <w:rsid w:val="00A92578"/>
    <w:rsid w:val="00A92ABB"/>
    <w:rsid w:val="00AA474C"/>
    <w:rsid w:val="00AC35EF"/>
    <w:rsid w:val="00AC4D5B"/>
    <w:rsid w:val="00AC5E4C"/>
    <w:rsid w:val="00AD1DDB"/>
    <w:rsid w:val="00AD2697"/>
    <w:rsid w:val="00AD7E5F"/>
    <w:rsid w:val="00AE3066"/>
    <w:rsid w:val="00AF4257"/>
    <w:rsid w:val="00AF68E4"/>
    <w:rsid w:val="00AF7685"/>
    <w:rsid w:val="00B00A87"/>
    <w:rsid w:val="00B01AA1"/>
    <w:rsid w:val="00B06025"/>
    <w:rsid w:val="00B30C81"/>
    <w:rsid w:val="00B30DA1"/>
    <w:rsid w:val="00B43256"/>
    <w:rsid w:val="00B47374"/>
    <w:rsid w:val="00B4750D"/>
    <w:rsid w:val="00B4793B"/>
    <w:rsid w:val="00B56099"/>
    <w:rsid w:val="00B606AC"/>
    <w:rsid w:val="00B62AE9"/>
    <w:rsid w:val="00B64A60"/>
    <w:rsid w:val="00B66283"/>
    <w:rsid w:val="00B86D88"/>
    <w:rsid w:val="00B91169"/>
    <w:rsid w:val="00B937D7"/>
    <w:rsid w:val="00B954EB"/>
    <w:rsid w:val="00B95B9E"/>
    <w:rsid w:val="00B96B67"/>
    <w:rsid w:val="00B97926"/>
    <w:rsid w:val="00BA6A5D"/>
    <w:rsid w:val="00BB4B63"/>
    <w:rsid w:val="00BC57EF"/>
    <w:rsid w:val="00BC69DB"/>
    <w:rsid w:val="00BE10F4"/>
    <w:rsid w:val="00BE3B54"/>
    <w:rsid w:val="00BE6B6B"/>
    <w:rsid w:val="00BF25F9"/>
    <w:rsid w:val="00C13F1E"/>
    <w:rsid w:val="00C13FD5"/>
    <w:rsid w:val="00C15633"/>
    <w:rsid w:val="00C15799"/>
    <w:rsid w:val="00C211AE"/>
    <w:rsid w:val="00C27E13"/>
    <w:rsid w:val="00C32E84"/>
    <w:rsid w:val="00C35415"/>
    <w:rsid w:val="00C357AD"/>
    <w:rsid w:val="00C379AE"/>
    <w:rsid w:val="00C511B2"/>
    <w:rsid w:val="00C51C5F"/>
    <w:rsid w:val="00C554CC"/>
    <w:rsid w:val="00C6069C"/>
    <w:rsid w:val="00C70477"/>
    <w:rsid w:val="00C74745"/>
    <w:rsid w:val="00C85119"/>
    <w:rsid w:val="00C95C48"/>
    <w:rsid w:val="00C97FE9"/>
    <w:rsid w:val="00CC7095"/>
    <w:rsid w:val="00CD170C"/>
    <w:rsid w:val="00CD320B"/>
    <w:rsid w:val="00CD3F37"/>
    <w:rsid w:val="00CD4AAE"/>
    <w:rsid w:val="00CD5431"/>
    <w:rsid w:val="00CE4B93"/>
    <w:rsid w:val="00CE62CF"/>
    <w:rsid w:val="00CF2491"/>
    <w:rsid w:val="00CF3963"/>
    <w:rsid w:val="00D03053"/>
    <w:rsid w:val="00D1252E"/>
    <w:rsid w:val="00D12A0B"/>
    <w:rsid w:val="00D13823"/>
    <w:rsid w:val="00D13D9D"/>
    <w:rsid w:val="00D31B97"/>
    <w:rsid w:val="00D416A3"/>
    <w:rsid w:val="00D42919"/>
    <w:rsid w:val="00D459A2"/>
    <w:rsid w:val="00D530FF"/>
    <w:rsid w:val="00D53688"/>
    <w:rsid w:val="00D5407A"/>
    <w:rsid w:val="00D5518E"/>
    <w:rsid w:val="00D57772"/>
    <w:rsid w:val="00D63877"/>
    <w:rsid w:val="00D72AE3"/>
    <w:rsid w:val="00D75A4D"/>
    <w:rsid w:val="00D8478B"/>
    <w:rsid w:val="00D86151"/>
    <w:rsid w:val="00D9172D"/>
    <w:rsid w:val="00D93DA9"/>
    <w:rsid w:val="00D97E84"/>
    <w:rsid w:val="00DA5641"/>
    <w:rsid w:val="00DA7595"/>
    <w:rsid w:val="00DB0A68"/>
    <w:rsid w:val="00DC43A3"/>
    <w:rsid w:val="00DC4CF3"/>
    <w:rsid w:val="00DC5C01"/>
    <w:rsid w:val="00DC7E87"/>
    <w:rsid w:val="00DD7C09"/>
    <w:rsid w:val="00DE6735"/>
    <w:rsid w:val="00DF0EB4"/>
    <w:rsid w:val="00DF48E2"/>
    <w:rsid w:val="00E0124F"/>
    <w:rsid w:val="00E05EF5"/>
    <w:rsid w:val="00E42FF5"/>
    <w:rsid w:val="00E5762A"/>
    <w:rsid w:val="00E612E2"/>
    <w:rsid w:val="00E674D3"/>
    <w:rsid w:val="00E70FD0"/>
    <w:rsid w:val="00E7309D"/>
    <w:rsid w:val="00E77ACF"/>
    <w:rsid w:val="00E77C4B"/>
    <w:rsid w:val="00E84027"/>
    <w:rsid w:val="00E9301F"/>
    <w:rsid w:val="00E94FBC"/>
    <w:rsid w:val="00E9690A"/>
    <w:rsid w:val="00E97DC7"/>
    <w:rsid w:val="00EA01A8"/>
    <w:rsid w:val="00F000EF"/>
    <w:rsid w:val="00F030B5"/>
    <w:rsid w:val="00F2504E"/>
    <w:rsid w:val="00F252F4"/>
    <w:rsid w:val="00F2585B"/>
    <w:rsid w:val="00F34A2F"/>
    <w:rsid w:val="00F4053F"/>
    <w:rsid w:val="00F516E7"/>
    <w:rsid w:val="00F57BF7"/>
    <w:rsid w:val="00F6263E"/>
    <w:rsid w:val="00F627C2"/>
    <w:rsid w:val="00F84067"/>
    <w:rsid w:val="00F91704"/>
    <w:rsid w:val="00F9578E"/>
    <w:rsid w:val="00F96E59"/>
    <w:rsid w:val="00FA50B4"/>
    <w:rsid w:val="00FA5785"/>
    <w:rsid w:val="00FA7090"/>
    <w:rsid w:val="00FB6E83"/>
    <w:rsid w:val="00FC156A"/>
    <w:rsid w:val="00FD6235"/>
    <w:rsid w:val="00FE13D1"/>
    <w:rsid w:val="00FE3DE5"/>
    <w:rsid w:val="00FF5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E672F"/>
  <w15:docId w15:val="{63449EAD-F5A0-4599-96FA-61B9C7F1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ListParagraphChar">
    <w:name w:val="List Paragraph Char"/>
    <w:link w:val="ListParagraph"/>
    <w:uiPriority w:val="34"/>
    <w:locked/>
    <w:rsid w:val="005A730A"/>
    <w:rPr>
      <w:rFonts w:eastAsia="BatangChe"/>
      <w:sz w:val="24"/>
      <w:szCs w:val="24"/>
    </w:rPr>
  </w:style>
  <w:style w:type="paragraph" w:customStyle="1" w:styleId="paragraph">
    <w:name w:val="paragraph"/>
    <w:basedOn w:val="Normal"/>
    <w:rsid w:val="00D93DA9"/>
    <w:pPr>
      <w:spacing w:before="100" w:beforeAutospacing="1" w:after="100" w:afterAutospacing="1"/>
    </w:pPr>
    <w:rPr>
      <w:rFonts w:eastAsia="Times New Roman"/>
    </w:rPr>
  </w:style>
  <w:style w:type="table" w:styleId="TableGrid">
    <w:name w:val="Table Grid"/>
    <w:basedOn w:val="TableNormal"/>
    <w:uiPriority w:val="59"/>
    <w:rsid w:val="00B9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qFormat/>
    <w:locked/>
    <w:rsid w:val="007316F7"/>
    <w:rPr>
      <w:rFonts w:eastAsia="MS Mincho"/>
      <w:sz w:val="24"/>
      <w:lang w:val="en-GB"/>
    </w:rPr>
  </w:style>
  <w:style w:type="paragraph" w:customStyle="1" w:styleId="enumlev1">
    <w:name w:val="enumlev1"/>
    <w:basedOn w:val="Normal"/>
    <w:link w:val="enumlev1Char"/>
    <w:qFormat/>
    <w:rsid w:val="007316F7"/>
    <w:pPr>
      <w:tabs>
        <w:tab w:val="left" w:pos="1134"/>
        <w:tab w:val="left" w:pos="1871"/>
        <w:tab w:val="left" w:pos="2608"/>
        <w:tab w:val="left" w:pos="3345"/>
      </w:tabs>
      <w:overflowPunct w:val="0"/>
      <w:autoSpaceDE w:val="0"/>
      <w:autoSpaceDN w:val="0"/>
      <w:adjustRightInd w:val="0"/>
      <w:spacing w:before="80"/>
      <w:ind w:left="1134" w:hanging="1134"/>
    </w:pPr>
    <w:rPr>
      <w:rFonts w:eastAsia="MS Mincho"/>
      <w:szCs w:val="20"/>
      <w:lang w:val="en-GB"/>
    </w:rPr>
  </w:style>
  <w:style w:type="character" w:customStyle="1" w:styleId="UnresolvedMention">
    <w:name w:val="Unresolved Mention"/>
    <w:basedOn w:val="DefaultParagraphFont"/>
    <w:uiPriority w:val="99"/>
    <w:semiHidden/>
    <w:unhideWhenUsed/>
    <w:rsid w:val="008205AF"/>
    <w:rPr>
      <w:color w:val="605E5C"/>
      <w:shd w:val="clear" w:color="auto" w:fill="E1DFDD"/>
    </w:rPr>
  </w:style>
  <w:style w:type="character" w:styleId="FollowedHyperlink">
    <w:name w:val="FollowedHyperlink"/>
    <w:basedOn w:val="DefaultParagraphFont"/>
    <w:semiHidden/>
    <w:unhideWhenUsed/>
    <w:rsid w:val="008205AF"/>
    <w:rPr>
      <w:color w:val="800080" w:themeColor="followedHyperlink"/>
      <w:u w:val="single"/>
    </w:rPr>
  </w:style>
  <w:style w:type="character" w:customStyle="1" w:styleId="Heading8Char">
    <w:name w:val="Heading 8 Char"/>
    <w:basedOn w:val="DefaultParagraphFont"/>
    <w:link w:val="Heading8"/>
    <w:rsid w:val="00C511B2"/>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8168">
      <w:bodyDiv w:val="1"/>
      <w:marLeft w:val="0"/>
      <w:marRight w:val="0"/>
      <w:marTop w:val="0"/>
      <w:marBottom w:val="0"/>
      <w:divBdr>
        <w:top w:val="none" w:sz="0" w:space="0" w:color="auto"/>
        <w:left w:val="none" w:sz="0" w:space="0" w:color="auto"/>
        <w:bottom w:val="none" w:sz="0" w:space="0" w:color="auto"/>
        <w:right w:val="none" w:sz="0" w:space="0" w:color="auto"/>
      </w:divBdr>
    </w:div>
    <w:div w:id="515079495">
      <w:bodyDiv w:val="1"/>
      <w:marLeft w:val="0"/>
      <w:marRight w:val="0"/>
      <w:marTop w:val="0"/>
      <w:marBottom w:val="0"/>
      <w:divBdr>
        <w:top w:val="none" w:sz="0" w:space="0" w:color="auto"/>
        <w:left w:val="none" w:sz="0" w:space="0" w:color="auto"/>
        <w:bottom w:val="none" w:sz="0" w:space="0" w:color="auto"/>
        <w:right w:val="none" w:sz="0" w:space="0" w:color="auto"/>
      </w:divBdr>
      <w:divsChild>
        <w:div w:id="13070069">
          <w:marLeft w:val="1008"/>
          <w:marRight w:val="0"/>
          <w:marTop w:val="96"/>
          <w:marBottom w:val="0"/>
          <w:divBdr>
            <w:top w:val="none" w:sz="0" w:space="0" w:color="auto"/>
            <w:left w:val="none" w:sz="0" w:space="0" w:color="auto"/>
            <w:bottom w:val="none" w:sz="0" w:space="0" w:color="auto"/>
            <w:right w:val="none" w:sz="0" w:space="0" w:color="auto"/>
          </w:divBdr>
        </w:div>
        <w:div w:id="675886942">
          <w:marLeft w:val="1008"/>
          <w:marRight w:val="0"/>
          <w:marTop w:val="96"/>
          <w:marBottom w:val="0"/>
          <w:divBdr>
            <w:top w:val="none" w:sz="0" w:space="0" w:color="auto"/>
            <w:left w:val="none" w:sz="0" w:space="0" w:color="auto"/>
            <w:bottom w:val="none" w:sz="0" w:space="0" w:color="auto"/>
            <w:right w:val="none" w:sz="0" w:space="0" w:color="auto"/>
          </w:divBdr>
        </w:div>
      </w:divsChild>
    </w:div>
    <w:div w:id="527451935">
      <w:bodyDiv w:val="1"/>
      <w:marLeft w:val="0"/>
      <w:marRight w:val="0"/>
      <w:marTop w:val="0"/>
      <w:marBottom w:val="0"/>
      <w:divBdr>
        <w:top w:val="none" w:sz="0" w:space="0" w:color="auto"/>
        <w:left w:val="none" w:sz="0" w:space="0" w:color="auto"/>
        <w:bottom w:val="none" w:sz="0" w:space="0" w:color="auto"/>
        <w:right w:val="none" w:sz="0" w:space="0" w:color="auto"/>
      </w:divBdr>
    </w:div>
    <w:div w:id="537548925">
      <w:bodyDiv w:val="1"/>
      <w:marLeft w:val="0"/>
      <w:marRight w:val="0"/>
      <w:marTop w:val="0"/>
      <w:marBottom w:val="0"/>
      <w:divBdr>
        <w:top w:val="none" w:sz="0" w:space="0" w:color="auto"/>
        <w:left w:val="none" w:sz="0" w:space="0" w:color="auto"/>
        <w:bottom w:val="none" w:sz="0" w:space="0" w:color="auto"/>
        <w:right w:val="none" w:sz="0" w:space="0" w:color="auto"/>
      </w:divBdr>
    </w:div>
    <w:div w:id="752512347">
      <w:bodyDiv w:val="1"/>
      <w:marLeft w:val="0"/>
      <w:marRight w:val="0"/>
      <w:marTop w:val="0"/>
      <w:marBottom w:val="0"/>
      <w:divBdr>
        <w:top w:val="none" w:sz="0" w:space="0" w:color="auto"/>
        <w:left w:val="none" w:sz="0" w:space="0" w:color="auto"/>
        <w:bottom w:val="none" w:sz="0" w:space="0" w:color="auto"/>
        <w:right w:val="none" w:sz="0" w:space="0" w:color="auto"/>
      </w:divBdr>
    </w:div>
    <w:div w:id="1204947107">
      <w:bodyDiv w:val="1"/>
      <w:marLeft w:val="0"/>
      <w:marRight w:val="0"/>
      <w:marTop w:val="0"/>
      <w:marBottom w:val="0"/>
      <w:divBdr>
        <w:top w:val="none" w:sz="0" w:space="0" w:color="auto"/>
        <w:left w:val="none" w:sz="0" w:space="0" w:color="auto"/>
        <w:bottom w:val="none" w:sz="0" w:space="0" w:color="auto"/>
        <w:right w:val="none" w:sz="0" w:space="0" w:color="auto"/>
      </w:divBdr>
    </w:div>
    <w:div w:id="1389376626">
      <w:bodyDiv w:val="1"/>
      <w:marLeft w:val="0"/>
      <w:marRight w:val="0"/>
      <w:marTop w:val="0"/>
      <w:marBottom w:val="0"/>
      <w:divBdr>
        <w:top w:val="none" w:sz="0" w:space="0" w:color="auto"/>
        <w:left w:val="none" w:sz="0" w:space="0" w:color="auto"/>
        <w:bottom w:val="none" w:sz="0" w:space="0" w:color="auto"/>
        <w:right w:val="none" w:sz="0" w:space="0" w:color="auto"/>
      </w:divBdr>
    </w:div>
    <w:div w:id="143369793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3802375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dms_pub/itu-r/md/15/wp5a/c/R15-WP5A-C-0976!N05!MSW-E.docx"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47CD-7571-48EB-A291-62BA8AAB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11991</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2</cp:revision>
  <cp:lastPrinted>2015-02-02T07:28:00Z</cp:lastPrinted>
  <dcterms:created xsi:type="dcterms:W3CDTF">2019-01-15T03:18:00Z</dcterms:created>
  <dcterms:modified xsi:type="dcterms:W3CDTF">2019-01-15T03:18:00Z</dcterms:modified>
</cp:coreProperties>
</file>