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15339" w:rsidTr="00815339">
        <w:trPr>
          <w:cantSplit/>
          <w:trHeight w:val="288"/>
        </w:trPr>
        <w:tc>
          <w:tcPr>
            <w:tcW w:w="1399" w:type="dxa"/>
            <w:vMerge w:val="restart"/>
            <w:tcBorders>
              <w:top w:val="nil"/>
              <w:left w:val="nil"/>
              <w:bottom w:val="single" w:sz="4" w:space="0" w:color="auto"/>
              <w:right w:val="nil"/>
            </w:tcBorders>
            <w:hideMark/>
          </w:tcPr>
          <w:p w:rsidR="00815339" w:rsidRDefault="00815339">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Borders>
              <w:top w:val="nil"/>
              <w:left w:val="nil"/>
              <w:bottom w:val="nil"/>
              <w:right w:val="nil"/>
            </w:tcBorders>
            <w:hideMark/>
          </w:tcPr>
          <w:p w:rsidR="00815339" w:rsidRDefault="00815339">
            <w:pPr>
              <w:spacing w:before="40"/>
              <w:rPr>
                <w:sz w:val="22"/>
                <w:szCs w:val="22"/>
              </w:rPr>
            </w:pPr>
            <w:r>
              <w:rPr>
                <w:sz w:val="22"/>
                <w:szCs w:val="22"/>
              </w:rPr>
              <w:t>ASIA-PACIFIC TELECOMMUNITY</w:t>
            </w:r>
          </w:p>
        </w:tc>
        <w:tc>
          <w:tcPr>
            <w:tcW w:w="2160" w:type="dxa"/>
            <w:tcBorders>
              <w:top w:val="nil"/>
              <w:left w:val="nil"/>
              <w:bottom w:val="nil"/>
              <w:right w:val="nil"/>
            </w:tcBorders>
            <w:hideMark/>
          </w:tcPr>
          <w:p w:rsidR="00815339" w:rsidRDefault="00815339">
            <w:pPr>
              <w:pStyle w:val="Heading8"/>
              <w:spacing w:before="40"/>
              <w:rPr>
                <w:sz w:val="24"/>
                <w:szCs w:val="24"/>
              </w:rPr>
            </w:pPr>
            <w:r>
              <w:rPr>
                <w:sz w:val="24"/>
                <w:szCs w:val="24"/>
              </w:rPr>
              <w:t>Document No:</w:t>
            </w:r>
          </w:p>
        </w:tc>
      </w:tr>
      <w:tr w:rsidR="00815339" w:rsidTr="00815339">
        <w:trPr>
          <w:cantSplit/>
          <w:trHeight w:val="504"/>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nil"/>
              <w:right w:val="nil"/>
            </w:tcBorders>
            <w:vAlign w:val="center"/>
            <w:hideMark/>
          </w:tcPr>
          <w:p w:rsidR="00815339" w:rsidRDefault="00815339">
            <w:pPr>
              <w:spacing w:before="40"/>
              <w:rPr>
                <w:b/>
              </w:rPr>
            </w:pPr>
            <w:r>
              <w:rPr>
                <w:b/>
              </w:rPr>
              <w:t>The 5</w:t>
            </w:r>
            <w:r>
              <w:rPr>
                <w:b/>
                <w:vertAlign w:val="superscript"/>
              </w:rPr>
              <w:t>th</w:t>
            </w:r>
            <w:r>
              <w:rPr>
                <w:b/>
              </w:rPr>
              <w:t xml:space="preserve"> Meeting of the APT Conference Preparatory</w:t>
            </w:r>
          </w:p>
          <w:p w:rsidR="00815339" w:rsidRDefault="00815339">
            <w:pPr>
              <w:spacing w:line="0" w:lineRule="atLeast"/>
            </w:pPr>
            <w:r>
              <w:rPr>
                <w:b/>
              </w:rPr>
              <w:t>Group for WRC-19 (APG19-5)</w:t>
            </w:r>
          </w:p>
        </w:tc>
        <w:tc>
          <w:tcPr>
            <w:tcW w:w="2160" w:type="dxa"/>
            <w:tcBorders>
              <w:top w:val="nil"/>
              <w:left w:val="nil"/>
              <w:bottom w:val="nil"/>
              <w:right w:val="nil"/>
            </w:tcBorders>
          </w:tcPr>
          <w:p w:rsidR="00815339" w:rsidRDefault="00815339">
            <w:pPr>
              <w:spacing w:before="40"/>
              <w:rPr>
                <w:b/>
                <w:bCs/>
                <w:lang w:val="fr-FR"/>
              </w:rPr>
            </w:pPr>
            <w:r>
              <w:rPr>
                <w:b/>
                <w:bCs/>
                <w:lang w:val="fr-FR"/>
              </w:rPr>
              <w:t>APG19-5/</w:t>
            </w:r>
            <w:r w:rsidR="000F5B42">
              <w:rPr>
                <w:b/>
                <w:bCs/>
                <w:lang w:val="fr-FR"/>
              </w:rPr>
              <w:t>OUT-08</w:t>
            </w:r>
          </w:p>
          <w:p w:rsidR="00815339" w:rsidRDefault="00815339">
            <w:pPr>
              <w:rPr>
                <w:b/>
                <w:bCs/>
                <w:lang w:val="en-GB"/>
              </w:rPr>
            </w:pPr>
          </w:p>
        </w:tc>
      </w:tr>
      <w:tr w:rsidR="00815339" w:rsidTr="00815339">
        <w:trPr>
          <w:cantSplit/>
          <w:trHeight w:val="288"/>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single" w:sz="4" w:space="0" w:color="auto"/>
              <w:right w:val="nil"/>
            </w:tcBorders>
            <w:vAlign w:val="bottom"/>
            <w:hideMark/>
          </w:tcPr>
          <w:p w:rsidR="00815339" w:rsidRDefault="00815339">
            <w:pPr>
              <w:spacing w:before="40"/>
              <w:rPr>
                <w:b/>
              </w:rPr>
            </w:pPr>
            <w:r>
              <w:t>31 July – 6 August 2019, Tokyo, Japan</w:t>
            </w:r>
          </w:p>
        </w:tc>
        <w:tc>
          <w:tcPr>
            <w:tcW w:w="2160" w:type="dxa"/>
            <w:tcBorders>
              <w:top w:val="nil"/>
              <w:left w:val="nil"/>
              <w:bottom w:val="single" w:sz="4" w:space="0" w:color="auto"/>
              <w:right w:val="nil"/>
            </w:tcBorders>
            <w:vAlign w:val="bottom"/>
            <w:hideMark/>
          </w:tcPr>
          <w:p w:rsidR="00815339" w:rsidRDefault="000F5B42">
            <w:pPr>
              <w:spacing w:before="40"/>
              <w:rPr>
                <w:bCs/>
              </w:rPr>
            </w:pPr>
            <w:r>
              <w:rPr>
                <w:bCs/>
              </w:rPr>
              <w:t>5</w:t>
            </w:r>
            <w:r w:rsidR="007974EA">
              <w:rPr>
                <w:bCs/>
              </w:rPr>
              <w:t xml:space="preserve"> August</w:t>
            </w:r>
            <w:r w:rsidR="00815339">
              <w:rPr>
                <w:bCs/>
              </w:rPr>
              <w:t xml:space="preserve"> 2019</w:t>
            </w:r>
          </w:p>
        </w:tc>
      </w:tr>
    </w:tbl>
    <w:p w:rsidR="00DA7595" w:rsidRDefault="00DA7595" w:rsidP="00DA7595">
      <w:pPr>
        <w:rPr>
          <w:sz w:val="26"/>
          <w:szCs w:val="26"/>
          <w:lang w:eastAsia="ko-KR"/>
        </w:rPr>
      </w:pPr>
    </w:p>
    <w:p w:rsidR="00815339" w:rsidRPr="001A25A5" w:rsidRDefault="00815339" w:rsidP="00DA7595">
      <w:pPr>
        <w:rPr>
          <w:sz w:val="26"/>
          <w:szCs w:val="26"/>
          <w:lang w:eastAsia="ko-KR"/>
        </w:rPr>
      </w:pPr>
    </w:p>
    <w:p w:rsidR="009075E7" w:rsidRPr="001D403E" w:rsidRDefault="000F5B42" w:rsidP="009075E7">
      <w:pPr>
        <w:jc w:val="center"/>
        <w:rPr>
          <w:lang w:val="en-NZ"/>
        </w:rPr>
      </w:pPr>
      <w:bookmarkStart w:id="0" w:name="_Hlk534663717"/>
      <w:r>
        <w:rPr>
          <w:lang w:val="en-NZ"/>
        </w:rPr>
        <w:t>Woerking Party 3</w:t>
      </w:r>
      <w:r w:rsidR="009075E7" w:rsidRPr="001D403E">
        <w:rPr>
          <w:lang w:val="en-NZ"/>
        </w:rPr>
        <w:t xml:space="preserve"> </w:t>
      </w:r>
    </w:p>
    <w:bookmarkEnd w:id="0"/>
    <w:p w:rsidR="009075E7" w:rsidRPr="005E4110" w:rsidRDefault="009075E7" w:rsidP="009075E7">
      <w:pPr>
        <w:jc w:val="center"/>
        <w:rPr>
          <w:b/>
          <w:bCs/>
          <w:caps/>
          <w:lang w:val="en-NZ"/>
        </w:rPr>
      </w:pPr>
    </w:p>
    <w:p w:rsidR="0029062A" w:rsidRDefault="0029062A" w:rsidP="0029062A">
      <w:pPr>
        <w:jc w:val="center"/>
        <w:rPr>
          <w:b/>
          <w:bCs/>
          <w:caps/>
          <w:lang w:val="en-NZ"/>
        </w:rPr>
      </w:pPr>
      <w:r>
        <w:rPr>
          <w:b/>
          <w:bCs/>
          <w:caps/>
          <w:lang w:val="en-NZ"/>
        </w:rPr>
        <w:t xml:space="preserve">APT VIEW AND PRELIMINARY APT COMMON PROPOSAL </w:t>
      </w:r>
    </w:p>
    <w:p w:rsidR="009075E7" w:rsidRPr="005E4110" w:rsidRDefault="009075E7" w:rsidP="009075E7">
      <w:pPr>
        <w:jc w:val="center"/>
        <w:rPr>
          <w:b/>
          <w:bCs/>
          <w:caps/>
          <w:lang w:val="en-NZ"/>
        </w:rPr>
      </w:pPr>
      <w:r w:rsidRPr="005E4110">
        <w:rPr>
          <w:b/>
          <w:bCs/>
          <w:caps/>
          <w:lang w:val="en-NZ"/>
        </w:rPr>
        <w:t>on WRC-19 agen</w:t>
      </w:r>
      <w:r w:rsidR="000F5B42">
        <w:rPr>
          <w:b/>
          <w:bCs/>
          <w:caps/>
          <w:lang w:val="en-NZ"/>
        </w:rPr>
        <w:t>da item 7 (Issues B</w:t>
      </w:r>
      <w:r w:rsidRPr="005E4110">
        <w:rPr>
          <w:b/>
          <w:bCs/>
          <w:caps/>
          <w:lang w:val="en-NZ"/>
        </w:rPr>
        <w:t>)</w:t>
      </w:r>
    </w:p>
    <w:p w:rsidR="009075E7" w:rsidRPr="005E4110" w:rsidRDefault="009075E7" w:rsidP="009075E7">
      <w:pPr>
        <w:spacing w:after="120"/>
        <w:rPr>
          <w:lang w:val="en-NZ"/>
        </w:rPr>
      </w:pPr>
    </w:p>
    <w:p w:rsidR="009075E7" w:rsidRPr="005E4110" w:rsidRDefault="009075E7" w:rsidP="009075E7">
      <w:pPr>
        <w:spacing w:after="120"/>
        <w:jc w:val="both"/>
        <w:rPr>
          <w:lang w:val="en-NZ"/>
        </w:rPr>
      </w:pPr>
      <w:r w:rsidRPr="005E4110">
        <w:rPr>
          <w:b/>
          <w:lang w:val="en-NZ"/>
        </w:rPr>
        <w:t xml:space="preserve">Agenda Item 7: </w:t>
      </w:r>
    </w:p>
    <w:p w:rsidR="009075E7" w:rsidRPr="005E4110" w:rsidRDefault="009075E7" w:rsidP="009075E7">
      <w:pPr>
        <w:spacing w:after="120"/>
        <w:jc w:val="both"/>
        <w:rPr>
          <w:i/>
        </w:rPr>
      </w:pPr>
      <w:r w:rsidRPr="005E4110">
        <w:rPr>
          <w:i/>
        </w:rPr>
        <w:t xml:space="preserve">to consider possible changes, and other options, in response to Resolution 86 (Rev. Marrakesh, 2002) of the </w:t>
      </w:r>
      <w:r w:rsidRPr="005E4110">
        <w:rPr>
          <w:i/>
          <w:lang w:val="en-NZ"/>
        </w:rPr>
        <w:t>Plenipotentiary</w:t>
      </w:r>
      <w:r w:rsidRPr="005E4110">
        <w:rPr>
          <w:i/>
        </w:rPr>
        <w:t xml:space="preserve"> Conference, an advance publication, coordination, notification and recording procedures for frequency assignments pertaining to satellite networks, in accordance with Resolution </w:t>
      </w:r>
      <w:r w:rsidRPr="005E4110">
        <w:rPr>
          <w:b/>
          <w:bCs/>
          <w:i/>
        </w:rPr>
        <w:t>86 (Rev.WRC</w:t>
      </w:r>
      <w:r w:rsidRPr="005E4110">
        <w:rPr>
          <w:b/>
          <w:bCs/>
          <w:i/>
        </w:rPr>
        <w:noBreakHyphen/>
        <w:t>07)</w:t>
      </w:r>
      <w:r w:rsidRPr="005E4110">
        <w:rPr>
          <w:i/>
        </w:rPr>
        <w:t>, in order to facilitate rational, efficient and economical use of radio frequencies and any associated orbits, including the geostationary</w:t>
      </w:r>
      <w:r w:rsidRPr="005E4110">
        <w:rPr>
          <w:i/>
        </w:rPr>
        <w:noBreakHyphen/>
        <w:t>satellite orbit</w:t>
      </w:r>
      <w:r>
        <w:rPr>
          <w:i/>
        </w:rPr>
        <w:t>.</w:t>
      </w:r>
    </w:p>
    <w:p w:rsidR="009075E7" w:rsidRPr="00E258C5" w:rsidRDefault="009075E7" w:rsidP="009075E7">
      <w:pPr>
        <w:jc w:val="both"/>
        <w:rPr>
          <w:highlight w:val="yellow"/>
          <w:lang w:val="en-NZ"/>
        </w:rPr>
      </w:pPr>
    </w:p>
    <w:p w:rsidR="001B12D2" w:rsidRPr="00ED0AF9" w:rsidRDefault="001B12D2" w:rsidP="001B12D2">
      <w:pPr>
        <w:pStyle w:val="Heading1"/>
      </w:pPr>
      <w:r w:rsidRPr="00ED0AF9">
        <w:t xml:space="preserve">Issue B - Ka-band </w:t>
      </w:r>
      <w:r w:rsidRPr="009075E7">
        <w:t>coordination</w:t>
      </w:r>
      <w:r w:rsidRPr="00ED0AF9">
        <w:t xml:space="preserve"> arc – FSS/MSS, MSS/MSS</w:t>
      </w:r>
    </w:p>
    <w:p w:rsidR="009075E7" w:rsidRPr="00E258C5" w:rsidRDefault="009075E7" w:rsidP="009075E7">
      <w:pPr>
        <w:rPr>
          <w:highlight w:val="yellow"/>
        </w:rPr>
      </w:pPr>
    </w:p>
    <w:p w:rsidR="009075E7" w:rsidRPr="009075E7" w:rsidRDefault="009075E7" w:rsidP="009075E7">
      <w:pPr>
        <w:pStyle w:val="Style3"/>
      </w:pPr>
      <w:r w:rsidRPr="009075E7">
        <w:t xml:space="preserve">1. </w:t>
      </w:r>
      <w:r w:rsidRPr="009075E7">
        <w:tab/>
        <w:t>Background</w:t>
      </w:r>
    </w:p>
    <w:p w:rsidR="009075E7" w:rsidRDefault="009075E7" w:rsidP="009075E7">
      <w:pPr>
        <w:jc w:val="both"/>
        <w:rPr>
          <w:highlight w:val="yellow"/>
        </w:rPr>
      </w:pPr>
    </w:p>
    <w:p w:rsidR="009075E7" w:rsidRPr="00726307" w:rsidRDefault="009075E7" w:rsidP="009075E7">
      <w:pPr>
        <w:jc w:val="both"/>
      </w:pPr>
      <w:r w:rsidRPr="00726307">
        <w:t xml:space="preserve">Currently in the Radio Regulations, to determine whether coordination under RR No. </w:t>
      </w:r>
      <w:r w:rsidRPr="00726307">
        <w:rPr>
          <w:b/>
          <w:bCs/>
        </w:rPr>
        <w:t>9.7</w:t>
      </w:r>
      <w:r w:rsidRPr="00726307">
        <w:t xml:space="preserve"> is required, </w:t>
      </w:r>
      <w:r w:rsidRPr="00726307">
        <w:rPr>
          <w:lang w:eastAsia="zh-CN"/>
        </w:rPr>
        <w:t xml:space="preserve">in the frequency bands </w:t>
      </w:r>
      <w:r w:rsidRPr="00726307">
        <w:t>29.5-30 GHz (Earth-to-space)/19.7-20.2 GHz (space-to-Earth) in all 3 Regions the following criteria is applied:</w:t>
      </w:r>
    </w:p>
    <w:p w:rsidR="009075E7" w:rsidRPr="00726307" w:rsidRDefault="009075E7" w:rsidP="009075E7">
      <w:pPr>
        <w:pStyle w:val="ListParagraph"/>
        <w:jc w:val="both"/>
      </w:pPr>
      <w:r w:rsidRPr="00726307">
        <w:t>–</w:t>
      </w:r>
      <w:r w:rsidRPr="00726307">
        <w:tab/>
        <w:t>FSS vs FSS: Coordination arc of 8º</w:t>
      </w:r>
    </w:p>
    <w:p w:rsidR="009075E7" w:rsidRPr="00726307" w:rsidRDefault="009075E7" w:rsidP="009075E7">
      <w:pPr>
        <w:pStyle w:val="ListParagraph"/>
        <w:jc w:val="both"/>
      </w:pPr>
      <w:r w:rsidRPr="00726307">
        <w:t>–</w:t>
      </w:r>
      <w:r w:rsidRPr="00726307">
        <w:tab/>
        <w:t>FSS vs MSS: Δ</w:t>
      </w:r>
      <w:r w:rsidRPr="00726307">
        <w:rPr>
          <w:i/>
          <w:iCs/>
        </w:rPr>
        <w:t>T/T</w:t>
      </w:r>
      <w:r w:rsidRPr="00726307">
        <w:t xml:space="preserve"> &gt; 6%</w:t>
      </w:r>
    </w:p>
    <w:p w:rsidR="009075E7" w:rsidRPr="00726307" w:rsidRDefault="009075E7" w:rsidP="009075E7">
      <w:pPr>
        <w:pStyle w:val="ListParagraph"/>
        <w:jc w:val="both"/>
      </w:pPr>
      <w:r w:rsidRPr="00726307">
        <w:t>–</w:t>
      </w:r>
      <w:r w:rsidRPr="00726307">
        <w:tab/>
        <w:t>MSS vs MSS: Δ</w:t>
      </w:r>
      <w:r w:rsidRPr="00726307">
        <w:rPr>
          <w:i/>
          <w:iCs/>
        </w:rPr>
        <w:t>T/T</w:t>
      </w:r>
      <w:r w:rsidRPr="00726307">
        <w:t xml:space="preserve"> &gt; 6%</w:t>
      </w:r>
    </w:p>
    <w:p w:rsidR="009075E7" w:rsidRPr="00726307" w:rsidRDefault="009075E7" w:rsidP="009075E7">
      <w:pPr>
        <w:jc w:val="both"/>
      </w:pPr>
    </w:p>
    <w:p w:rsidR="009075E7" w:rsidRPr="00726307" w:rsidRDefault="009075E7" w:rsidP="009075E7">
      <w:pPr>
        <w:jc w:val="both"/>
      </w:pPr>
      <w:r w:rsidRPr="00726307">
        <w:t>In addition, in the F</w:t>
      </w:r>
      <w:r>
        <w:t>SS vs FSS coordination, a</w:t>
      </w:r>
      <w:r w:rsidRPr="00726307">
        <w:t xml:space="preserve">dministrations can always request application of RR No. </w:t>
      </w:r>
      <w:r w:rsidRPr="00726307">
        <w:rPr>
          <w:b/>
          <w:bCs/>
        </w:rPr>
        <w:t>9.41</w:t>
      </w:r>
      <w:r w:rsidRPr="00726307">
        <w:t xml:space="preserve"> to include additional satellite networks that would be affected taking into account the Δ</w:t>
      </w:r>
      <w:r w:rsidRPr="00726307">
        <w:rPr>
          <w:i/>
          <w:iCs/>
        </w:rPr>
        <w:t>T/T</w:t>
      </w:r>
      <w:r w:rsidRPr="00726307">
        <w:t> &gt; 6% criteria.</w:t>
      </w:r>
    </w:p>
    <w:p w:rsidR="009075E7" w:rsidRPr="00726307" w:rsidRDefault="009075E7" w:rsidP="009075E7">
      <w:pPr>
        <w:jc w:val="both"/>
      </w:pPr>
    </w:p>
    <w:p w:rsidR="007E622D" w:rsidRDefault="007E622D">
      <w:pPr>
        <w:rPr>
          <w:spacing w:val="-2"/>
        </w:rPr>
      </w:pPr>
      <w:r>
        <w:rPr>
          <w:spacing w:val="-2"/>
        </w:rPr>
        <w:br w:type="page"/>
      </w:r>
    </w:p>
    <w:p w:rsidR="009075E7" w:rsidRPr="00726307" w:rsidRDefault="009075E7" w:rsidP="009075E7">
      <w:pPr>
        <w:jc w:val="both"/>
        <w:rPr>
          <w:spacing w:val="-2"/>
        </w:rPr>
      </w:pPr>
      <w:r w:rsidRPr="00726307">
        <w:rPr>
          <w:spacing w:val="-2"/>
        </w:rPr>
        <w:lastRenderedPageBreak/>
        <w:t xml:space="preserve">Considering that </w:t>
      </w:r>
      <w:r w:rsidRPr="00726307">
        <w:t xml:space="preserve">according to the current Radio Regulations, to determine whether coordination under RR No. </w:t>
      </w:r>
      <w:r w:rsidRPr="00726307">
        <w:rPr>
          <w:b/>
          <w:bCs/>
        </w:rPr>
        <w:t>9.7</w:t>
      </w:r>
      <w:r w:rsidRPr="00726307">
        <w:t xml:space="preserve"> is required between FSS vs FSS satellite networks, a coordination arc of 8º is the coordination criteria applied in this same frequency band, </w:t>
      </w:r>
      <w:r w:rsidRPr="00726307">
        <w:rPr>
          <w:lang w:eastAsia="zh-CN"/>
        </w:rPr>
        <w:t>Agenda Item 7 Issue B studies the possibility to apply this same coordination criteria to determine if coordination is required between MSS systems and between MSS and FSS systems</w:t>
      </w:r>
      <w:r w:rsidRPr="00726307">
        <w:rPr>
          <w:spacing w:val="-2"/>
        </w:rPr>
        <w:t xml:space="preserve"> based on the following principles:</w:t>
      </w:r>
    </w:p>
    <w:p w:rsidR="009075E7" w:rsidRPr="00726307" w:rsidRDefault="009075E7" w:rsidP="009075E7">
      <w:pPr>
        <w:pStyle w:val="enumlev1"/>
        <w:jc w:val="both"/>
        <w:rPr>
          <w:szCs w:val="24"/>
          <w:lang w:val="en-US" w:eastAsia="zh-CN"/>
        </w:rPr>
      </w:pPr>
      <w:r w:rsidRPr="00726307">
        <w:rPr>
          <w:szCs w:val="24"/>
          <w:lang w:val="en-US" w:eastAsia="zh-CN"/>
        </w:rPr>
        <w:t>–</w:t>
      </w:r>
      <w:r w:rsidRPr="00726307">
        <w:rPr>
          <w:szCs w:val="24"/>
          <w:lang w:val="en-US" w:eastAsia="zh-CN"/>
        </w:rPr>
        <w:tab/>
        <w:t>Results of studies show that earth station terminals used in the MSS and FSS in the Ka</w:t>
      </w:r>
      <w:r w:rsidRPr="00726307">
        <w:rPr>
          <w:szCs w:val="24"/>
          <w:lang w:val="en-US" w:eastAsia="zh-CN"/>
        </w:rPr>
        <w:noBreakHyphen/>
        <w:t>band are quite similar. Therefore, it can be considered that the coordination arc that currently trigger coordination between FSS systems in an effective and efficient manner, can be applied to trigger coordination between MSS and FSS systems and MSS systems.</w:t>
      </w:r>
    </w:p>
    <w:p w:rsidR="009075E7" w:rsidRPr="00726307" w:rsidRDefault="009075E7" w:rsidP="009075E7">
      <w:pPr>
        <w:pStyle w:val="enumlev1"/>
        <w:jc w:val="both"/>
        <w:rPr>
          <w:szCs w:val="24"/>
          <w:lang w:val="en-US" w:eastAsia="zh-CN"/>
        </w:rPr>
      </w:pPr>
      <w:r w:rsidRPr="00726307">
        <w:rPr>
          <w:szCs w:val="24"/>
          <w:lang w:val="en-US" w:eastAsia="zh-CN"/>
        </w:rPr>
        <w:t>–</w:t>
      </w:r>
      <w:r w:rsidRPr="00726307">
        <w:rPr>
          <w:szCs w:val="24"/>
          <w:lang w:val="en-US" w:eastAsia="zh-CN"/>
        </w:rPr>
        <w:tab/>
        <w:t>Introduction of the coordination arc will reduce the number of Administrations identified for coordination, reducing the number of coordination processes and resulting in a reduction of required resources in Administrations, operators, Bureau, etc.</w:t>
      </w:r>
    </w:p>
    <w:p w:rsidR="009075E7" w:rsidRPr="00726307" w:rsidRDefault="009075E7" w:rsidP="009075E7">
      <w:pPr>
        <w:pStyle w:val="enumlev1"/>
        <w:jc w:val="both"/>
        <w:rPr>
          <w:szCs w:val="24"/>
          <w:lang w:val="en-US" w:eastAsia="zh-CN"/>
        </w:rPr>
      </w:pPr>
      <w:r w:rsidRPr="00726307">
        <w:rPr>
          <w:szCs w:val="24"/>
          <w:lang w:val="en-US" w:eastAsia="zh-CN"/>
        </w:rPr>
        <w:t>–</w:t>
      </w:r>
      <w:r w:rsidRPr="00726307">
        <w:rPr>
          <w:szCs w:val="24"/>
          <w:lang w:val="en-US" w:eastAsia="zh-CN"/>
        </w:rPr>
        <w:tab/>
        <w:t xml:space="preserve">Administration will always have the possibility to request application of RR No. </w:t>
      </w:r>
      <w:r w:rsidRPr="00726307">
        <w:rPr>
          <w:b/>
          <w:bCs/>
          <w:szCs w:val="24"/>
          <w:lang w:val="en-US" w:eastAsia="zh-CN"/>
        </w:rPr>
        <w:t>9.41</w:t>
      </w:r>
      <w:r w:rsidRPr="00726307">
        <w:rPr>
          <w:szCs w:val="24"/>
          <w:lang w:val="en-US" w:eastAsia="zh-CN"/>
        </w:rPr>
        <w:t xml:space="preserve"> to include additional satellite networks affected, taking into account the Δ</w:t>
      </w:r>
      <w:r w:rsidRPr="00726307">
        <w:rPr>
          <w:i/>
          <w:iCs/>
          <w:szCs w:val="24"/>
          <w:lang w:val="en-US" w:eastAsia="zh-CN"/>
        </w:rPr>
        <w:t>T/T</w:t>
      </w:r>
      <w:r w:rsidRPr="00726307">
        <w:rPr>
          <w:szCs w:val="24"/>
          <w:lang w:val="en-US" w:eastAsia="zh-CN"/>
        </w:rPr>
        <w:t xml:space="preserve"> &gt; 6% criteria.</w:t>
      </w:r>
    </w:p>
    <w:p w:rsidR="009075E7" w:rsidRPr="00E258C5" w:rsidRDefault="009075E7" w:rsidP="009075E7">
      <w:pPr>
        <w:jc w:val="both"/>
        <w:rPr>
          <w:highlight w:val="yellow"/>
          <w:lang w:eastAsia="zh-CN"/>
        </w:rPr>
      </w:pPr>
    </w:p>
    <w:p w:rsidR="00AB07B9" w:rsidRDefault="00AB07B9" w:rsidP="009075E7">
      <w:pPr>
        <w:jc w:val="both"/>
        <w:rPr>
          <w:rFonts w:ascii="TimesNewRomanPSMT" w:hAnsi="TimesNewRomanPSMT"/>
          <w:color w:val="000000"/>
        </w:rPr>
      </w:pPr>
      <w:bookmarkStart w:id="1" w:name="_Hlk15636552"/>
      <w:r w:rsidRPr="004E5C19">
        <w:t>As a result of the ITU-R studies,</w:t>
      </w:r>
      <w:r w:rsidRPr="004E5C19">
        <w:rPr>
          <w:spacing w:val="-2"/>
        </w:rPr>
        <w:t xml:space="preserve"> </w:t>
      </w:r>
      <w:r>
        <w:rPr>
          <w:spacing w:val="-2"/>
        </w:rPr>
        <w:t xml:space="preserve">WRC-19 Agenda Item Issue B </w:t>
      </w:r>
      <w:r w:rsidRPr="00AB07B9">
        <w:rPr>
          <w:rFonts w:ascii="TimesNewRomanPSMT" w:hAnsi="TimesNewRomanPSMT"/>
          <w:color w:val="000000"/>
        </w:rPr>
        <w:t>proposes the introduction of the coordination arc with a value of</w:t>
      </w:r>
      <w:r>
        <w:rPr>
          <w:rFonts w:ascii="TimesNewRomanPSMT" w:hAnsi="TimesNewRomanPSMT"/>
          <w:color w:val="000000"/>
        </w:rPr>
        <w:t xml:space="preserve"> </w:t>
      </w:r>
      <w:r w:rsidRPr="00AB07B9">
        <w:rPr>
          <w:rFonts w:ascii="TimesNewRomanPSMT" w:hAnsi="TimesNewRomanPSMT"/>
          <w:color w:val="000000"/>
        </w:rPr>
        <w:t>8 degrees as coordination criteria between fixed-satellite service (FSS) and mobile-satellite service</w:t>
      </w:r>
      <w:r>
        <w:rPr>
          <w:rFonts w:ascii="TimesNewRomanPSMT" w:hAnsi="TimesNewRomanPSMT"/>
          <w:color w:val="000000"/>
        </w:rPr>
        <w:t xml:space="preserve"> </w:t>
      </w:r>
      <w:r w:rsidRPr="00AB07B9">
        <w:rPr>
          <w:rFonts w:ascii="TimesNewRomanPSMT" w:hAnsi="TimesNewRomanPSMT"/>
          <w:color w:val="000000"/>
        </w:rPr>
        <w:t>(MSS) systems and MSS systems, in the frequency bands 29.5-30 GHz (Earth-to-space)/19.7-20.2 GHz (space-to-Earth) in all 3 Regions, as substitution of the existing trigger of coordination</w:t>
      </w:r>
      <w:r>
        <w:rPr>
          <w:rFonts w:ascii="TimesNewRomanPSMT" w:hAnsi="TimesNewRomanPSMT"/>
          <w:color w:val="000000"/>
        </w:rPr>
        <w:t xml:space="preserve"> </w:t>
      </w:r>
      <w:r w:rsidRPr="00AB07B9">
        <w:rPr>
          <w:rFonts w:ascii="TimesNewRomanPSMT" w:hAnsi="TimesNewRomanPSMT"/>
          <w:color w:val="000000"/>
        </w:rPr>
        <w:t>Δ</w:t>
      </w:r>
      <w:r w:rsidRPr="00AB07B9">
        <w:rPr>
          <w:rFonts w:ascii="TimesNewRomanPS-ItalicMT" w:hAnsi="TimesNewRomanPS-ItalicMT"/>
          <w:i/>
          <w:iCs/>
          <w:color w:val="000000"/>
        </w:rPr>
        <w:t xml:space="preserve">T/T </w:t>
      </w:r>
      <w:r w:rsidRPr="00AB07B9">
        <w:rPr>
          <w:rFonts w:ascii="TimesNewRomanPSMT" w:hAnsi="TimesNewRomanPSMT"/>
          <w:color w:val="000000"/>
        </w:rPr>
        <w:t>&gt; 6%. Considering that according to the current RR, to determine whether coordination under</w:t>
      </w:r>
      <w:r>
        <w:rPr>
          <w:rFonts w:ascii="TimesNewRomanPSMT" w:hAnsi="TimesNewRomanPSMT"/>
          <w:color w:val="000000"/>
        </w:rPr>
        <w:t xml:space="preserve"> </w:t>
      </w:r>
      <w:r w:rsidRPr="00AB07B9">
        <w:rPr>
          <w:rFonts w:ascii="TimesNewRomanPSMT" w:hAnsi="TimesNewRomanPSMT"/>
          <w:color w:val="000000"/>
        </w:rPr>
        <w:t xml:space="preserve">RR No. </w:t>
      </w:r>
      <w:r w:rsidRPr="00AB07B9">
        <w:rPr>
          <w:rFonts w:ascii="TimesNewRomanPS-BoldMT" w:hAnsi="TimesNewRomanPS-BoldMT"/>
          <w:b/>
          <w:bCs/>
          <w:color w:val="000000"/>
        </w:rPr>
        <w:t xml:space="preserve">9.7 </w:t>
      </w:r>
      <w:r w:rsidRPr="00AB07B9">
        <w:rPr>
          <w:rFonts w:ascii="TimesNewRomanPSMT" w:hAnsi="TimesNewRomanPSMT"/>
          <w:color w:val="000000"/>
        </w:rPr>
        <w:t>is required between FSS vs. FSS satellite networks, a coordination arc of 8º is the</w:t>
      </w:r>
      <w:r>
        <w:rPr>
          <w:rFonts w:ascii="TimesNewRomanPSMT" w:hAnsi="TimesNewRomanPSMT"/>
          <w:color w:val="000000"/>
        </w:rPr>
        <w:t xml:space="preserve"> </w:t>
      </w:r>
      <w:r w:rsidRPr="00AB07B9">
        <w:rPr>
          <w:rFonts w:ascii="TimesNewRomanPSMT" w:hAnsi="TimesNewRomanPSMT"/>
          <w:color w:val="000000"/>
        </w:rPr>
        <w:t>coordination criteria applied in this same frequency band</w:t>
      </w:r>
      <w:r>
        <w:rPr>
          <w:rFonts w:ascii="TimesNewRomanPSMT" w:hAnsi="TimesNewRomanPSMT"/>
          <w:color w:val="000000"/>
        </w:rPr>
        <w:t xml:space="preserve">. </w:t>
      </w:r>
    </w:p>
    <w:bookmarkEnd w:id="1"/>
    <w:p w:rsidR="00AB07B9" w:rsidRPr="004E5C19" w:rsidRDefault="00AB07B9" w:rsidP="009075E7">
      <w:pPr>
        <w:jc w:val="both"/>
        <w:rPr>
          <w:lang w:eastAsia="zh-CN"/>
        </w:rPr>
      </w:pPr>
    </w:p>
    <w:p w:rsidR="009075E7" w:rsidRPr="00C61CC7" w:rsidRDefault="009075E7" w:rsidP="009075E7">
      <w:pPr>
        <w:spacing w:after="120"/>
        <w:jc w:val="both"/>
        <w:rPr>
          <w:b/>
          <w:lang w:val="en-NZ" w:eastAsia="ko-KR"/>
        </w:rPr>
      </w:pPr>
      <w:r w:rsidRPr="00C61CC7">
        <w:rPr>
          <w:b/>
          <w:lang w:val="en-NZ" w:eastAsia="ko-KR"/>
        </w:rPr>
        <w:t xml:space="preserve">Relevant ITU-R Recommendations and Reports </w:t>
      </w:r>
    </w:p>
    <w:p w:rsidR="009075E7" w:rsidRPr="00C61CC7" w:rsidRDefault="009404A9" w:rsidP="009075E7">
      <w:pPr>
        <w:numPr>
          <w:ilvl w:val="0"/>
          <w:numId w:val="30"/>
        </w:numPr>
        <w:ind w:leftChars="145" w:left="708"/>
        <w:jc w:val="both"/>
        <w:rPr>
          <w:lang w:eastAsia="ko-KR"/>
        </w:rPr>
      </w:pPr>
      <w:hyperlink r:id="rId8" w:history="1">
        <w:r w:rsidR="009075E7" w:rsidRPr="00C61CC7">
          <w:rPr>
            <w:rStyle w:val="Hyperlink"/>
            <w:lang w:eastAsia="zh-CN"/>
          </w:rPr>
          <w:t xml:space="preserve">Annex 31 </w:t>
        </w:r>
        <w:r w:rsidR="009075E7" w:rsidRPr="00C61CC7">
          <w:rPr>
            <w:rStyle w:val="Hyperlink"/>
            <w:lang w:val="en-NZ"/>
          </w:rPr>
          <w:t>to</w:t>
        </w:r>
        <w:r w:rsidR="009075E7" w:rsidRPr="00C61CC7">
          <w:rPr>
            <w:rStyle w:val="Hyperlink"/>
            <w:lang w:eastAsia="zh-CN"/>
          </w:rPr>
          <w:t xml:space="preserve"> Document 826</w:t>
        </w:r>
      </w:hyperlink>
      <w:r w:rsidR="009075E7" w:rsidRPr="00C61CC7">
        <w:rPr>
          <w:lang w:eastAsia="zh-CN"/>
        </w:rPr>
        <w:t xml:space="preserve"> of the Working Party 4A Chairman Report</w:t>
      </w:r>
      <w:r w:rsidR="009075E7" w:rsidRPr="00C61CC7">
        <w:rPr>
          <w:lang w:val="en-GB" w:eastAsia="ko-KR"/>
        </w:rPr>
        <w:t>, July 2018: Preliminary D</w:t>
      </w:r>
      <w:r w:rsidR="009075E7" w:rsidRPr="00C61CC7">
        <w:t>raft CPM text for WRC-19 agenda item 7 – Issue B</w:t>
      </w:r>
    </w:p>
    <w:p w:rsidR="00E8588D" w:rsidRPr="00C61CC7" w:rsidRDefault="005254F4" w:rsidP="00E8588D">
      <w:pPr>
        <w:numPr>
          <w:ilvl w:val="0"/>
          <w:numId w:val="30"/>
        </w:numPr>
        <w:ind w:leftChars="145" w:left="708"/>
        <w:jc w:val="both"/>
      </w:pPr>
      <w:r>
        <w:t xml:space="preserve">Chapter 3 in the </w:t>
      </w:r>
      <w:hyperlink r:id="rId9" w:history="1">
        <w:r w:rsidR="00E8588D" w:rsidRPr="00E8588D">
          <w:rPr>
            <w:rStyle w:val="Hyperlink"/>
          </w:rPr>
          <w:t>CPM Report</w:t>
        </w:r>
      </w:hyperlink>
      <w:r w:rsidR="00E8588D" w:rsidRPr="00E8588D">
        <w:t xml:space="preserve"> </w:t>
      </w:r>
      <w:r w:rsidR="00E8588D">
        <w:t xml:space="preserve">to WRC-19, February 2019: </w:t>
      </w:r>
      <w:r w:rsidR="00E8588D" w:rsidRPr="00E8588D">
        <w:t>Report of the CPM</w:t>
      </w:r>
      <w:r w:rsidR="00E8588D">
        <w:t xml:space="preserve"> </w:t>
      </w:r>
      <w:r w:rsidR="00E8588D" w:rsidRPr="00E8588D">
        <w:t>on technical, operational and</w:t>
      </w:r>
      <w:r w:rsidR="00E8588D">
        <w:t xml:space="preserve"> </w:t>
      </w:r>
      <w:r w:rsidR="00E8588D" w:rsidRPr="00E8588D">
        <w:t>regulatory/procedural matters</w:t>
      </w:r>
      <w:r w:rsidR="00E8588D">
        <w:t xml:space="preserve"> </w:t>
      </w:r>
      <w:r w:rsidR="00E8588D" w:rsidRPr="00E8588D">
        <w:t>to be considered by the</w:t>
      </w:r>
      <w:r w:rsidR="00E8588D">
        <w:t xml:space="preserve"> </w:t>
      </w:r>
      <w:r w:rsidR="00E8588D" w:rsidRPr="00E8588D">
        <w:t>World Radiocommunication</w:t>
      </w:r>
      <w:r w:rsidR="00E8588D">
        <w:t xml:space="preserve"> </w:t>
      </w:r>
      <w:r w:rsidR="00E8588D" w:rsidRPr="00E8588D">
        <w:t>Conference 2019</w:t>
      </w:r>
    </w:p>
    <w:p w:rsidR="009075E7" w:rsidRPr="00E258C5" w:rsidRDefault="009075E7" w:rsidP="009075E7">
      <w:pPr>
        <w:ind w:left="708"/>
        <w:jc w:val="both"/>
        <w:rPr>
          <w:highlight w:val="yellow"/>
          <w:lang w:eastAsia="ko-KR"/>
        </w:rPr>
      </w:pPr>
    </w:p>
    <w:p w:rsidR="009075E7" w:rsidRPr="0096270D" w:rsidRDefault="009075E7" w:rsidP="009075E7">
      <w:pPr>
        <w:pStyle w:val="Style3"/>
      </w:pPr>
      <w:r w:rsidRPr="0096270D">
        <w:t xml:space="preserve">2. </w:t>
      </w:r>
      <w:r w:rsidRPr="0096270D">
        <w:tab/>
        <w:t>Documents</w:t>
      </w:r>
    </w:p>
    <w:p w:rsidR="009075E7" w:rsidRPr="0096270D" w:rsidRDefault="009075E7" w:rsidP="009075E7">
      <w:pPr>
        <w:numPr>
          <w:ilvl w:val="0"/>
          <w:numId w:val="30"/>
        </w:numPr>
        <w:ind w:leftChars="145" w:left="708"/>
        <w:jc w:val="both"/>
        <w:rPr>
          <w:lang w:val="en-NZ"/>
        </w:rPr>
      </w:pPr>
      <w:r w:rsidRPr="0096270D">
        <w:t xml:space="preserve">Input Documents: </w:t>
      </w:r>
      <w:r w:rsidR="00AC589A">
        <w:t>APG19-5/INP-</w:t>
      </w:r>
      <w:hyperlink r:id="rId10" w:history="1">
        <w:r w:rsidR="00AC589A" w:rsidRPr="00BE3376">
          <w:rPr>
            <w:rStyle w:val="Hyperlink"/>
          </w:rPr>
          <w:t>44</w:t>
        </w:r>
        <w:r w:rsidR="00C70D89">
          <w:rPr>
            <w:rStyle w:val="Hyperlink"/>
          </w:rPr>
          <w:t xml:space="preserve"> (Rev.1)</w:t>
        </w:r>
        <w:r w:rsidR="00AC589A" w:rsidRPr="00BE3376">
          <w:rPr>
            <w:rStyle w:val="Hyperlink"/>
          </w:rPr>
          <w:t xml:space="preserve"> (AUS)</w:t>
        </w:r>
      </w:hyperlink>
      <w:r w:rsidR="00AC589A">
        <w:t xml:space="preserve">, </w:t>
      </w:r>
      <w:hyperlink r:id="rId11" w:history="1">
        <w:r w:rsidR="00AC589A" w:rsidRPr="00BE3376">
          <w:rPr>
            <w:rStyle w:val="Hyperlink"/>
          </w:rPr>
          <w:t>51 (INS)</w:t>
        </w:r>
      </w:hyperlink>
      <w:r w:rsidR="00AC589A">
        <w:t xml:space="preserve">, </w:t>
      </w:r>
      <w:hyperlink r:id="rId12" w:history="1">
        <w:r w:rsidR="00AC589A" w:rsidRPr="00BE3376">
          <w:rPr>
            <w:rStyle w:val="Hyperlink"/>
          </w:rPr>
          <w:t>67 (CHN)</w:t>
        </w:r>
      </w:hyperlink>
      <w:r w:rsidR="00AC589A">
        <w:t xml:space="preserve">, </w:t>
      </w:r>
      <w:hyperlink r:id="rId13" w:history="1">
        <w:r w:rsidR="00AC589A" w:rsidRPr="00BE3376">
          <w:rPr>
            <w:rStyle w:val="Hyperlink"/>
          </w:rPr>
          <w:t>81 (J)</w:t>
        </w:r>
      </w:hyperlink>
      <w:r w:rsidR="00AC589A">
        <w:t xml:space="preserve">, </w:t>
      </w:r>
      <w:hyperlink r:id="rId14" w:history="1">
        <w:r w:rsidR="00AC589A" w:rsidRPr="00BE3376">
          <w:rPr>
            <w:rStyle w:val="Hyperlink"/>
          </w:rPr>
          <w:t>98 (MNG)</w:t>
        </w:r>
      </w:hyperlink>
      <w:r w:rsidR="00AC589A">
        <w:t xml:space="preserve">, </w:t>
      </w:r>
      <w:hyperlink r:id="rId15" w:history="1">
        <w:r w:rsidR="00AC589A" w:rsidRPr="00BE3376">
          <w:rPr>
            <w:rStyle w:val="Hyperlink"/>
          </w:rPr>
          <w:t>108 (MLA &amp; THA)</w:t>
        </w:r>
      </w:hyperlink>
      <w:r w:rsidR="00AC589A">
        <w:t xml:space="preserve">, </w:t>
      </w:r>
      <w:hyperlink r:id="rId16" w:history="1">
        <w:r w:rsidR="00AC589A" w:rsidRPr="00BE3376">
          <w:rPr>
            <w:rStyle w:val="Hyperlink"/>
          </w:rPr>
          <w:t>119 (VTN)</w:t>
        </w:r>
      </w:hyperlink>
      <w:r w:rsidR="00AC589A">
        <w:t xml:space="preserve">, </w:t>
      </w:r>
      <w:hyperlink r:id="rId17" w:history="1">
        <w:r w:rsidR="00AC589A" w:rsidRPr="00704703">
          <w:rPr>
            <w:rStyle w:val="Hyperlink"/>
          </w:rPr>
          <w:t>129 (KOR)</w:t>
        </w:r>
      </w:hyperlink>
    </w:p>
    <w:p w:rsidR="009075E7" w:rsidRPr="0096270D" w:rsidRDefault="009075E7" w:rsidP="009075E7">
      <w:pPr>
        <w:numPr>
          <w:ilvl w:val="0"/>
          <w:numId w:val="30"/>
        </w:numPr>
        <w:ind w:leftChars="145" w:left="708"/>
        <w:jc w:val="both"/>
        <w:rPr>
          <w:lang w:val="en-NZ"/>
        </w:rPr>
      </w:pPr>
      <w:r w:rsidRPr="0096270D">
        <w:t xml:space="preserve">Information Documents: </w:t>
      </w:r>
      <w:r w:rsidR="00C93A83">
        <w:t>APG19-5/INF-</w:t>
      </w:r>
      <w:hyperlink r:id="rId18" w:history="1">
        <w:r w:rsidR="00C93A83" w:rsidRPr="00C93A83">
          <w:rPr>
            <w:rStyle w:val="Hyperlink"/>
          </w:rPr>
          <w:t>1</w:t>
        </w:r>
        <w:r w:rsidR="00C93A83">
          <w:rPr>
            <w:rStyle w:val="Hyperlink"/>
          </w:rPr>
          <w:t>8</w:t>
        </w:r>
        <w:r w:rsidR="00C93A83" w:rsidRPr="00C93A83">
          <w:rPr>
            <w:rStyle w:val="Hyperlink"/>
          </w:rPr>
          <w:t xml:space="preserve"> (CEPT)</w:t>
        </w:r>
      </w:hyperlink>
      <w:r w:rsidR="0000511E">
        <w:t xml:space="preserve">, </w:t>
      </w:r>
      <w:hyperlink r:id="rId19" w:history="1">
        <w:r w:rsidR="0000511E" w:rsidRPr="00C93A83">
          <w:rPr>
            <w:rStyle w:val="Hyperlink"/>
          </w:rPr>
          <w:t>1</w:t>
        </w:r>
        <w:r w:rsidR="0000511E">
          <w:rPr>
            <w:rStyle w:val="Hyperlink"/>
          </w:rPr>
          <w:t>9</w:t>
        </w:r>
        <w:r w:rsidR="0000511E" w:rsidRPr="00C93A83">
          <w:rPr>
            <w:rStyle w:val="Hyperlink"/>
          </w:rPr>
          <w:t xml:space="preserve"> (</w:t>
        </w:r>
        <w:r w:rsidR="0000511E">
          <w:rPr>
            <w:rStyle w:val="Hyperlink"/>
          </w:rPr>
          <w:t>ATU</w:t>
        </w:r>
        <w:r w:rsidR="0000511E" w:rsidRPr="00C93A83">
          <w:rPr>
            <w:rStyle w:val="Hyperlink"/>
          </w:rPr>
          <w:t>)</w:t>
        </w:r>
      </w:hyperlink>
      <w:r w:rsidR="0031553A" w:rsidRPr="00C0111B">
        <w:rPr>
          <w:lang w:val="en-NZ"/>
        </w:rPr>
        <w:t xml:space="preserve">, </w:t>
      </w:r>
      <w:hyperlink r:id="rId20" w:history="1">
        <w:r w:rsidR="0031553A" w:rsidRPr="00C20C39">
          <w:rPr>
            <w:rStyle w:val="Hyperlink"/>
            <w:lang w:val="en-NZ"/>
          </w:rPr>
          <w:t>22 (RCC)</w:t>
        </w:r>
      </w:hyperlink>
    </w:p>
    <w:p w:rsidR="009075E7" w:rsidRPr="00E258C5" w:rsidRDefault="009075E7" w:rsidP="009075E7">
      <w:pPr>
        <w:jc w:val="both"/>
        <w:rPr>
          <w:highlight w:val="yellow"/>
          <w:lang w:val="en-NZ"/>
        </w:rPr>
      </w:pPr>
    </w:p>
    <w:p w:rsidR="009075E7" w:rsidRPr="00ED0AF9" w:rsidRDefault="009075E7" w:rsidP="009075E7">
      <w:pPr>
        <w:pStyle w:val="Style3"/>
      </w:pPr>
      <w:r w:rsidRPr="00ED0AF9">
        <w:t xml:space="preserve">3. </w:t>
      </w:r>
      <w:r w:rsidRPr="00ED0AF9">
        <w:tab/>
        <w:t>Summary of discussions</w:t>
      </w:r>
    </w:p>
    <w:p w:rsidR="009075E7" w:rsidRPr="00ED0AF9" w:rsidRDefault="009075E7" w:rsidP="009075E7"/>
    <w:p w:rsidR="009075E7" w:rsidRPr="009075E7" w:rsidRDefault="009075E7" w:rsidP="009075E7">
      <w:pPr>
        <w:pStyle w:val="Style2"/>
      </w:pPr>
      <w:r w:rsidRPr="009075E7">
        <w:t>3.1</w:t>
      </w:r>
      <w:r w:rsidRPr="009075E7">
        <w:tab/>
        <w:t>Summary of APT Members’ views</w:t>
      </w:r>
    </w:p>
    <w:p w:rsidR="009075E7" w:rsidRPr="009075E7" w:rsidRDefault="009075E7" w:rsidP="009075E7"/>
    <w:p w:rsidR="009075E7" w:rsidRPr="007974EA" w:rsidRDefault="009075E7" w:rsidP="009075E7">
      <w:pPr>
        <w:pStyle w:val="Style1"/>
      </w:pPr>
      <w:r w:rsidRPr="009075E7">
        <w:t xml:space="preserve">3.1.1 </w:t>
      </w:r>
      <w:r w:rsidRPr="009075E7">
        <w:tab/>
        <w:t xml:space="preserve">Australia – Document </w:t>
      </w:r>
      <w:r w:rsidR="00290AE0">
        <w:t>APG19-5/INP-</w:t>
      </w:r>
      <w:hyperlink r:id="rId21" w:history="1">
        <w:r w:rsidR="00290AE0" w:rsidRPr="007974EA">
          <w:t xml:space="preserve">44 </w:t>
        </w:r>
      </w:hyperlink>
      <w:r w:rsidR="00C70D89">
        <w:t>(Rev.1)</w:t>
      </w:r>
    </w:p>
    <w:p w:rsidR="007F0465" w:rsidRDefault="007F0465" w:rsidP="007F0465">
      <w:pPr>
        <w:numPr>
          <w:ilvl w:val="0"/>
          <w:numId w:val="30"/>
        </w:numPr>
        <w:ind w:leftChars="145" w:left="708"/>
        <w:jc w:val="both"/>
      </w:pPr>
      <w:r>
        <w:t xml:space="preserve">Australia supports the application of coordination triggers in the Ka-band to MSS networks, for coordination between MSS-MSS and MSS-FSS networks, noting that any procedures developed should not compromise the protection of a primary service from a </w:t>
      </w:r>
      <w:r>
        <w:lastRenderedPageBreak/>
        <w:t>secondary service. Australia supports the single Method of the CPM Report text for this Issue.</w:t>
      </w:r>
    </w:p>
    <w:p w:rsidR="006C69DE" w:rsidRDefault="006C69DE" w:rsidP="007F0465">
      <w:pPr>
        <w:rPr>
          <w:rStyle w:val="Hyperlink"/>
        </w:rPr>
      </w:pPr>
    </w:p>
    <w:p w:rsidR="00290AE0" w:rsidRPr="007974EA" w:rsidRDefault="00290AE0" w:rsidP="00290AE0">
      <w:pPr>
        <w:pStyle w:val="Style1"/>
      </w:pPr>
      <w:r w:rsidRPr="009075E7">
        <w:t>3.1.</w:t>
      </w:r>
      <w:r>
        <w:t>2</w:t>
      </w:r>
      <w:r w:rsidRPr="009075E7">
        <w:t xml:space="preserve"> </w:t>
      </w:r>
      <w:r w:rsidRPr="009075E7">
        <w:tab/>
      </w:r>
      <w:r>
        <w:t>Indonesia</w:t>
      </w:r>
      <w:r w:rsidRPr="009075E7">
        <w:t xml:space="preserve"> – Document </w:t>
      </w:r>
      <w:r>
        <w:t>APG19-5/INP-</w:t>
      </w:r>
      <w:hyperlink r:id="rId22" w:history="1">
        <w:r w:rsidRPr="007974EA">
          <w:t>51</w:t>
        </w:r>
      </w:hyperlink>
    </w:p>
    <w:p w:rsidR="00240DC8" w:rsidRDefault="00240DC8" w:rsidP="00CE5930">
      <w:pPr>
        <w:numPr>
          <w:ilvl w:val="0"/>
          <w:numId w:val="30"/>
        </w:numPr>
        <w:ind w:leftChars="145" w:left="708"/>
        <w:jc w:val="both"/>
      </w:pPr>
      <w:r w:rsidRPr="00134070">
        <w:t xml:space="preserve">Indonesia is of the view to support </w:t>
      </w:r>
      <w:r>
        <w:t>a single method in CPM Report</w:t>
      </w:r>
      <w:r w:rsidRPr="00134070">
        <w:t xml:space="preserve"> which propose to u</w:t>
      </w:r>
      <w:r w:rsidRPr="00134070">
        <w:rPr>
          <w:lang w:val="en-ID"/>
        </w:rPr>
        <w:t xml:space="preserve">se of the coordination arc with a value of 8 degrees as coordination criteria, to determine if coordination is required between FSS and MSS systems and between MSS systems in the frequency bands 29.5-30 </w:t>
      </w:r>
      <w:r w:rsidRPr="00CE5930">
        <w:t>GHz</w:t>
      </w:r>
      <w:r w:rsidRPr="00134070">
        <w:rPr>
          <w:lang w:val="en-ID"/>
        </w:rPr>
        <w:t xml:space="preserve"> (Earth-to-space)/19.7-20.2 GHz (space-to-Earth), in all 3 Regions, replacing the existing coordination criteria ΔT/T &gt; 6%</w:t>
      </w:r>
      <w:r>
        <w:rPr>
          <w:lang w:val="en-ID"/>
        </w:rPr>
        <w:t>.</w:t>
      </w:r>
    </w:p>
    <w:p w:rsidR="006C69DE" w:rsidRPr="009075E7" w:rsidRDefault="006C69DE" w:rsidP="007F0465">
      <w:pPr>
        <w:rPr>
          <w:rStyle w:val="Hyperlink"/>
          <w:color w:val="auto"/>
          <w:u w:val="none"/>
        </w:rPr>
      </w:pPr>
    </w:p>
    <w:p w:rsidR="00290AE0" w:rsidRPr="007974EA" w:rsidRDefault="00290AE0" w:rsidP="00290AE0">
      <w:pPr>
        <w:pStyle w:val="Style1"/>
      </w:pPr>
      <w:r w:rsidRPr="009075E7">
        <w:t>3.1.</w:t>
      </w:r>
      <w:r>
        <w:t>3</w:t>
      </w:r>
      <w:r w:rsidRPr="009075E7">
        <w:t xml:space="preserve"> </w:t>
      </w:r>
      <w:r w:rsidRPr="009075E7">
        <w:tab/>
      </w:r>
      <w:r>
        <w:t>China</w:t>
      </w:r>
      <w:r w:rsidRPr="009075E7">
        <w:t xml:space="preserve"> – Document </w:t>
      </w:r>
      <w:r>
        <w:t>APG19-5/INP-</w:t>
      </w:r>
      <w:hyperlink r:id="rId23" w:history="1">
        <w:r w:rsidRPr="007974EA">
          <w:t>67</w:t>
        </w:r>
      </w:hyperlink>
    </w:p>
    <w:p w:rsidR="006C69DE" w:rsidRPr="00CE5930" w:rsidRDefault="00240DC8" w:rsidP="00CE5930">
      <w:pPr>
        <w:numPr>
          <w:ilvl w:val="0"/>
          <w:numId w:val="30"/>
        </w:numPr>
        <w:ind w:leftChars="145" w:left="708"/>
        <w:jc w:val="both"/>
      </w:pPr>
      <w:r>
        <w:rPr>
          <w:rFonts w:eastAsia="SimSun"/>
          <w:lang w:eastAsia="zh-CN"/>
        </w:rPr>
        <w:t xml:space="preserve">In order to make more efficient the coordination procedures, China supports that coordination arc criteria would substitute the ΔT/T&gt;6% criteria that currently applies, while keeping the possibility for Administrations to request ΔT/T criteria under No </w:t>
      </w:r>
      <w:r>
        <w:rPr>
          <w:rFonts w:eastAsia="SimSun"/>
          <w:b/>
          <w:lang w:eastAsia="zh-CN"/>
        </w:rPr>
        <w:t>9.41</w:t>
      </w:r>
      <w:r>
        <w:rPr>
          <w:rFonts w:eastAsia="SimSun"/>
          <w:lang w:eastAsia="zh-CN"/>
        </w:rPr>
        <w:t>, as outlined in the single Method in the CPM report.</w:t>
      </w:r>
    </w:p>
    <w:p w:rsidR="00CE5930" w:rsidRPr="009075E7" w:rsidRDefault="00CE5930" w:rsidP="00CE5930">
      <w:pPr>
        <w:rPr>
          <w:rStyle w:val="Hyperlink"/>
          <w:color w:val="auto"/>
          <w:u w:val="none"/>
        </w:rPr>
      </w:pPr>
    </w:p>
    <w:p w:rsidR="00290AE0" w:rsidRPr="007974EA" w:rsidRDefault="00290AE0" w:rsidP="00290AE0">
      <w:pPr>
        <w:pStyle w:val="Style1"/>
      </w:pPr>
      <w:r w:rsidRPr="009075E7">
        <w:t>3.1.</w:t>
      </w:r>
      <w:r>
        <w:t>4</w:t>
      </w:r>
      <w:r w:rsidRPr="009075E7">
        <w:t xml:space="preserve"> </w:t>
      </w:r>
      <w:r w:rsidRPr="009075E7">
        <w:tab/>
      </w:r>
      <w:r>
        <w:t>Japan</w:t>
      </w:r>
      <w:r w:rsidRPr="009075E7">
        <w:t xml:space="preserve"> – Document </w:t>
      </w:r>
      <w:r>
        <w:t>APG19-5/INP-</w:t>
      </w:r>
      <w:hyperlink r:id="rId24" w:history="1">
        <w:r w:rsidRPr="007974EA">
          <w:t>81</w:t>
        </w:r>
      </w:hyperlink>
    </w:p>
    <w:p w:rsidR="006C69DE" w:rsidRDefault="00174F4E" w:rsidP="00CE5930">
      <w:pPr>
        <w:numPr>
          <w:ilvl w:val="0"/>
          <w:numId w:val="30"/>
        </w:numPr>
        <w:ind w:leftChars="145" w:left="708"/>
        <w:jc w:val="both"/>
        <w:rPr>
          <w:lang w:val="en-AU"/>
        </w:rPr>
      </w:pPr>
      <w:r>
        <w:rPr>
          <w:rFonts w:eastAsiaTheme="minorEastAsia"/>
          <w:lang w:eastAsia="ja-JP"/>
        </w:rPr>
        <w:t xml:space="preserve">Japan </w:t>
      </w:r>
      <w:r w:rsidRPr="00094867">
        <w:rPr>
          <w:lang w:val="en-AU"/>
        </w:rPr>
        <w:t>supports</w:t>
      </w:r>
      <w:r>
        <w:rPr>
          <w:lang w:val="en-AU"/>
        </w:rPr>
        <w:t xml:space="preserve"> the single Method of the </w:t>
      </w:r>
      <w:r w:rsidRPr="00094867">
        <w:rPr>
          <w:lang w:val="en-AU"/>
        </w:rPr>
        <w:t>CPM Report</w:t>
      </w:r>
      <w:r>
        <w:rPr>
          <w:lang w:val="en-AU"/>
        </w:rPr>
        <w:t xml:space="preserve"> for Issue B.</w:t>
      </w:r>
    </w:p>
    <w:p w:rsidR="00CE5930" w:rsidRPr="009075E7" w:rsidRDefault="00CE5930" w:rsidP="007F0465">
      <w:pPr>
        <w:rPr>
          <w:rStyle w:val="Hyperlink"/>
          <w:color w:val="auto"/>
          <w:u w:val="none"/>
        </w:rPr>
      </w:pPr>
    </w:p>
    <w:p w:rsidR="00290AE0" w:rsidRDefault="00290AE0" w:rsidP="00290AE0">
      <w:pPr>
        <w:pStyle w:val="Style1"/>
      </w:pPr>
      <w:r w:rsidRPr="009075E7">
        <w:t>3.1.</w:t>
      </w:r>
      <w:r>
        <w:t>5</w:t>
      </w:r>
      <w:r w:rsidRPr="009075E7">
        <w:t xml:space="preserve"> </w:t>
      </w:r>
      <w:r w:rsidRPr="009075E7">
        <w:tab/>
      </w:r>
      <w:r>
        <w:t>Mongolia</w:t>
      </w:r>
      <w:r w:rsidRPr="009075E7">
        <w:t xml:space="preserve"> – Document </w:t>
      </w:r>
      <w:r>
        <w:t>APG19-5/INP-</w:t>
      </w:r>
      <w:hyperlink r:id="rId25" w:history="1">
        <w:r w:rsidRPr="007974EA">
          <w:t>98</w:t>
        </w:r>
      </w:hyperlink>
      <w:r>
        <w:t xml:space="preserve"> </w:t>
      </w:r>
    </w:p>
    <w:p w:rsidR="003427AB" w:rsidRDefault="003427AB" w:rsidP="00CE5930">
      <w:pPr>
        <w:numPr>
          <w:ilvl w:val="0"/>
          <w:numId w:val="30"/>
        </w:numPr>
        <w:ind w:leftChars="145" w:left="708"/>
        <w:jc w:val="both"/>
      </w:pPr>
      <w:r w:rsidRPr="00CE5930">
        <w:rPr>
          <w:rFonts w:eastAsiaTheme="minorEastAsia"/>
          <w:lang w:eastAsia="ja-JP"/>
        </w:rPr>
        <w:t>Mongolia</w:t>
      </w:r>
      <w:r>
        <w:t xml:space="preserve"> supports the Method in the Section 3/7/2.4 of the CPM19-2 on this Issue:  </w:t>
      </w:r>
    </w:p>
    <w:p w:rsidR="003427AB" w:rsidRPr="001304DF" w:rsidRDefault="003427AB" w:rsidP="001304DF">
      <w:pPr>
        <w:numPr>
          <w:ilvl w:val="2"/>
          <w:numId w:val="39"/>
        </w:numPr>
        <w:jc w:val="both"/>
        <w:rPr>
          <w:rFonts w:eastAsiaTheme="minorEastAsia"/>
          <w:lang w:eastAsia="ja-JP"/>
        </w:rPr>
      </w:pPr>
      <w:r w:rsidRPr="007B7A6B">
        <w:t xml:space="preserve">Use </w:t>
      </w:r>
      <w:r w:rsidRPr="007B7A6B">
        <w:rPr>
          <w:sz w:val="23"/>
          <w:szCs w:val="23"/>
        </w:rPr>
        <w:t xml:space="preserve">of the coordination arc with a value of 8 degrees as coordination criteria, to determine if </w:t>
      </w:r>
      <w:r w:rsidRPr="001304DF">
        <w:rPr>
          <w:rFonts w:eastAsiaTheme="minorEastAsia"/>
          <w:lang w:eastAsia="ja-JP"/>
        </w:rPr>
        <w:t xml:space="preserve">coordination is required between FSS and MSS systems and between MSS systems in the frequency bands 29.5-30 GHz (Earth-to-space)/19.7-20.2 GHz (space-to-Earth), in all 3 Regions, replacing the existing coordination criteria ΔT/T &gt; 6%, without any modifications to the status of allocations in these frequency bands.  </w:t>
      </w:r>
    </w:p>
    <w:p w:rsidR="003427AB" w:rsidRPr="007B7A6B" w:rsidRDefault="003427AB" w:rsidP="001304DF">
      <w:pPr>
        <w:numPr>
          <w:ilvl w:val="2"/>
          <w:numId w:val="39"/>
        </w:numPr>
        <w:jc w:val="both"/>
      </w:pPr>
      <w:r w:rsidRPr="001304DF">
        <w:rPr>
          <w:rFonts w:eastAsiaTheme="minorEastAsia"/>
          <w:lang w:eastAsia="ja-JP"/>
        </w:rPr>
        <w:t>Administratio</w:t>
      </w:r>
      <w:r w:rsidRPr="007B7A6B">
        <w:rPr>
          <w:sz w:val="23"/>
          <w:szCs w:val="23"/>
        </w:rPr>
        <w:t xml:space="preserve">ns can always request application of RR No. </w:t>
      </w:r>
      <w:r w:rsidRPr="007B7A6B">
        <w:rPr>
          <w:b/>
          <w:bCs/>
          <w:sz w:val="23"/>
          <w:szCs w:val="23"/>
        </w:rPr>
        <w:t xml:space="preserve">9.41 </w:t>
      </w:r>
      <w:r w:rsidRPr="007B7A6B">
        <w:rPr>
          <w:sz w:val="23"/>
          <w:szCs w:val="23"/>
        </w:rPr>
        <w:t>to include additional satellite networks that would be affected taking into account the Δ</w:t>
      </w:r>
      <w:r w:rsidRPr="007B7A6B">
        <w:rPr>
          <w:i/>
          <w:iCs/>
          <w:sz w:val="23"/>
          <w:szCs w:val="23"/>
        </w:rPr>
        <w:t xml:space="preserve">T/T </w:t>
      </w:r>
      <w:r w:rsidRPr="007B7A6B">
        <w:rPr>
          <w:sz w:val="23"/>
          <w:szCs w:val="23"/>
        </w:rPr>
        <w:t>&gt; 6% criteria.</w:t>
      </w:r>
    </w:p>
    <w:p w:rsidR="006C69DE" w:rsidRPr="009075E7" w:rsidRDefault="006C69DE" w:rsidP="007F0465">
      <w:pPr>
        <w:rPr>
          <w:rStyle w:val="Hyperlink"/>
          <w:color w:val="auto"/>
          <w:u w:val="none"/>
        </w:rPr>
      </w:pPr>
    </w:p>
    <w:p w:rsidR="00290AE0" w:rsidRPr="007974EA" w:rsidRDefault="00290AE0" w:rsidP="00290AE0">
      <w:pPr>
        <w:pStyle w:val="Style1"/>
      </w:pPr>
      <w:r w:rsidRPr="009075E7">
        <w:t>3.1.</w:t>
      </w:r>
      <w:r>
        <w:t>6</w:t>
      </w:r>
      <w:r w:rsidRPr="009075E7">
        <w:t xml:space="preserve"> </w:t>
      </w:r>
      <w:r w:rsidRPr="009075E7">
        <w:tab/>
      </w:r>
      <w:r>
        <w:t>Malaysia and Thailand</w:t>
      </w:r>
      <w:r w:rsidRPr="009075E7">
        <w:t xml:space="preserve"> – Document </w:t>
      </w:r>
      <w:r>
        <w:t>APG19-5/INP-</w:t>
      </w:r>
      <w:hyperlink r:id="rId26" w:history="1">
        <w:r w:rsidRPr="007974EA">
          <w:t>108</w:t>
        </w:r>
      </w:hyperlink>
    </w:p>
    <w:p w:rsidR="00FE01E1" w:rsidRPr="007914E7" w:rsidRDefault="00FE01E1" w:rsidP="001304DF">
      <w:pPr>
        <w:numPr>
          <w:ilvl w:val="0"/>
          <w:numId w:val="30"/>
        </w:numPr>
        <w:ind w:leftChars="145" w:left="708"/>
        <w:jc w:val="both"/>
      </w:pPr>
      <w:r>
        <w:t xml:space="preserve">Malaysia and </w:t>
      </w:r>
      <w:r w:rsidRPr="007914E7">
        <w:t xml:space="preserve">Thailand </w:t>
      </w:r>
      <w:r>
        <w:t>support</w:t>
      </w:r>
      <w:r w:rsidRPr="007914E7">
        <w:t xml:space="preserve"> the application of the coordination arc with a value of 8 degrees as the </w:t>
      </w:r>
      <w:r w:rsidRPr="001304DF">
        <w:rPr>
          <w:rFonts w:eastAsiaTheme="minorEastAsia"/>
          <w:lang w:eastAsia="ja-JP"/>
        </w:rPr>
        <w:t>coordination</w:t>
      </w:r>
      <w:r w:rsidRPr="007914E7">
        <w:t xml:space="preserve"> criteria, to determine the</w:t>
      </w:r>
      <w:r w:rsidRPr="007914E7">
        <w:rPr>
          <w:lang w:val="en-GB"/>
        </w:rPr>
        <w:t xml:space="preserve"> requesting coordination </w:t>
      </w:r>
      <w:r w:rsidRPr="007914E7">
        <w:t>between FSS and MSS systems and between MSS systems in the frequency bands 29.5-30 GHz (Earth-to-space) and 19.7</w:t>
      </w:r>
      <w:r w:rsidRPr="007914E7">
        <w:noBreakHyphen/>
        <w:t xml:space="preserve">20.2 GHz (space-to-Earth) in all 3 Regions, </w:t>
      </w:r>
      <w:r>
        <w:t xml:space="preserve">while keeping the possibility for Administrations to request </w:t>
      </w:r>
      <w:r w:rsidRPr="007914E7">
        <w:rPr>
          <w:rFonts w:ascii="Arial" w:hAnsi="Arial" w:cs="Arial"/>
          <w:lang w:val="el-GR"/>
        </w:rPr>
        <w:t>Δ</w:t>
      </w:r>
      <w:r w:rsidRPr="007914E7">
        <w:t>T/T</w:t>
      </w:r>
      <w:r>
        <w:t xml:space="preserve"> criteria under No. 9.41</w:t>
      </w:r>
      <w:r w:rsidRPr="007914E7">
        <w:t>.</w:t>
      </w:r>
    </w:p>
    <w:p w:rsidR="00FE01E1" w:rsidRDefault="00FE01E1" w:rsidP="001304DF">
      <w:pPr>
        <w:numPr>
          <w:ilvl w:val="0"/>
          <w:numId w:val="30"/>
        </w:numPr>
        <w:ind w:leftChars="145" w:left="708"/>
        <w:jc w:val="both"/>
      </w:pPr>
      <w:r w:rsidRPr="00173BE0">
        <w:t xml:space="preserve">Therefore, </w:t>
      </w:r>
      <w:r w:rsidRPr="001304DF">
        <w:rPr>
          <w:rFonts w:eastAsiaTheme="minorEastAsia"/>
          <w:lang w:eastAsia="ja-JP"/>
        </w:rPr>
        <w:t>Malaysia</w:t>
      </w:r>
      <w:r>
        <w:t xml:space="preserve"> and </w:t>
      </w:r>
      <w:r w:rsidRPr="00173BE0">
        <w:t>Thailand support the single Method of the CPM report for this Issue.</w:t>
      </w:r>
    </w:p>
    <w:p w:rsidR="006C69DE" w:rsidRPr="009075E7" w:rsidRDefault="006C69DE" w:rsidP="007F0465">
      <w:pPr>
        <w:rPr>
          <w:rStyle w:val="Hyperlink"/>
          <w:color w:val="auto"/>
          <w:u w:val="none"/>
        </w:rPr>
      </w:pPr>
    </w:p>
    <w:p w:rsidR="00290AE0" w:rsidRPr="007974EA" w:rsidRDefault="00290AE0" w:rsidP="00290AE0">
      <w:pPr>
        <w:pStyle w:val="Style1"/>
      </w:pPr>
      <w:r w:rsidRPr="009075E7">
        <w:t>3.1.</w:t>
      </w:r>
      <w:r>
        <w:t>7</w:t>
      </w:r>
      <w:r w:rsidRPr="009075E7">
        <w:t xml:space="preserve"> </w:t>
      </w:r>
      <w:r w:rsidRPr="009075E7">
        <w:tab/>
      </w:r>
      <w:r>
        <w:t>Vietnam</w:t>
      </w:r>
      <w:r w:rsidRPr="009075E7">
        <w:t xml:space="preserve"> – Document </w:t>
      </w:r>
      <w:r>
        <w:t>APG19-5/INP-</w:t>
      </w:r>
      <w:hyperlink r:id="rId27" w:history="1">
        <w:r w:rsidRPr="007974EA">
          <w:t xml:space="preserve">119 </w:t>
        </w:r>
      </w:hyperlink>
    </w:p>
    <w:p w:rsidR="007B498A" w:rsidRPr="00206E52" w:rsidRDefault="007B498A" w:rsidP="001304DF">
      <w:pPr>
        <w:numPr>
          <w:ilvl w:val="0"/>
          <w:numId w:val="30"/>
        </w:numPr>
        <w:ind w:leftChars="145" w:left="708"/>
        <w:jc w:val="both"/>
        <w:rPr>
          <w:lang w:val="en-ID"/>
        </w:rPr>
      </w:pPr>
      <w:r>
        <w:rPr>
          <w:lang w:val="en-ID"/>
        </w:rPr>
        <w:t xml:space="preserve">Viet Nam </w:t>
      </w:r>
      <w:r w:rsidRPr="00206E52">
        <w:rPr>
          <w:lang w:val="en-ID"/>
        </w:rPr>
        <w:t>support</w:t>
      </w:r>
      <w:r>
        <w:rPr>
          <w:lang w:val="en-ID"/>
        </w:rPr>
        <w:t>s</w:t>
      </w:r>
      <w:r w:rsidRPr="00206E52">
        <w:rPr>
          <w:lang w:val="en-ID"/>
        </w:rPr>
        <w:t xml:space="preserve"> Method B in the draft CPM text that uses the coordination arc with a value of 8 degrees as </w:t>
      </w:r>
      <w:r w:rsidRPr="001304DF">
        <w:t>coordination</w:t>
      </w:r>
      <w:r w:rsidRPr="00206E52">
        <w:rPr>
          <w:lang w:val="en-ID"/>
        </w:rPr>
        <w:t xml:space="preserve"> criteria, to determine if coordination is required between FSS and MSS systems and between MSS systems in the frequency bands 29.5-30 GHz (Earth-to-space)/19.7</w:t>
      </w:r>
      <w:r w:rsidRPr="00206E52">
        <w:rPr>
          <w:lang w:val="en-ID"/>
        </w:rPr>
        <w:noBreakHyphen/>
        <w:t>20.2 GHz (space-to-Earth), in all 3 Regions</w:t>
      </w:r>
      <w:r>
        <w:rPr>
          <w:lang w:val="en-ID"/>
        </w:rPr>
        <w:t>.</w:t>
      </w:r>
    </w:p>
    <w:p w:rsidR="007B498A" w:rsidRPr="00206E52" w:rsidRDefault="007B498A" w:rsidP="001304DF">
      <w:pPr>
        <w:numPr>
          <w:ilvl w:val="0"/>
          <w:numId w:val="30"/>
        </w:numPr>
        <w:ind w:leftChars="145" w:left="708"/>
        <w:jc w:val="both"/>
        <w:rPr>
          <w:i/>
          <w:lang w:eastAsia="zh-CN"/>
        </w:rPr>
      </w:pPr>
      <w:r w:rsidRPr="001304DF">
        <w:rPr>
          <w:i/>
        </w:rPr>
        <w:t>Reasons</w:t>
      </w:r>
      <w:r w:rsidRPr="00206E52">
        <w:rPr>
          <w:i/>
        </w:rPr>
        <w:t xml:space="preserve">: </w:t>
      </w:r>
      <w:r w:rsidRPr="00206E52">
        <w:rPr>
          <w:i/>
          <w:lang w:eastAsia="zh-CN"/>
        </w:rPr>
        <w:t>Introduction of the coordination arc will reduce the number of administrations identified for coordination, reducing the number of coordination processes and resulting in a reduction of required resources in administrations, operators, Bureau, etc.</w:t>
      </w:r>
    </w:p>
    <w:p w:rsidR="006C69DE" w:rsidRPr="009075E7" w:rsidRDefault="006C69DE" w:rsidP="007F0465">
      <w:pPr>
        <w:rPr>
          <w:rStyle w:val="Hyperlink"/>
          <w:color w:val="auto"/>
          <w:u w:val="none"/>
        </w:rPr>
      </w:pPr>
    </w:p>
    <w:p w:rsidR="00290AE0" w:rsidRPr="007974EA" w:rsidRDefault="00290AE0" w:rsidP="00290AE0">
      <w:pPr>
        <w:pStyle w:val="Style1"/>
      </w:pPr>
      <w:r w:rsidRPr="009075E7">
        <w:lastRenderedPageBreak/>
        <w:t>3.1.</w:t>
      </w:r>
      <w:r w:rsidR="006C69DE">
        <w:t>8</w:t>
      </w:r>
      <w:r w:rsidRPr="009075E7">
        <w:t xml:space="preserve"> </w:t>
      </w:r>
      <w:r w:rsidRPr="009075E7">
        <w:tab/>
      </w:r>
      <w:r>
        <w:t>Korea</w:t>
      </w:r>
      <w:r w:rsidRPr="009075E7">
        <w:t xml:space="preserve"> – Document </w:t>
      </w:r>
      <w:r>
        <w:t>APG19-5/INP-</w:t>
      </w:r>
      <w:hyperlink r:id="rId28" w:history="1"/>
      <w:hyperlink r:id="rId29" w:history="1">
        <w:r w:rsidRPr="007974EA">
          <w:t>129</w:t>
        </w:r>
      </w:hyperlink>
    </w:p>
    <w:p w:rsidR="007B498A" w:rsidRPr="00254BA1" w:rsidRDefault="007B498A" w:rsidP="001304DF">
      <w:pPr>
        <w:numPr>
          <w:ilvl w:val="0"/>
          <w:numId w:val="30"/>
        </w:numPr>
        <w:ind w:leftChars="145" w:left="708"/>
        <w:jc w:val="both"/>
        <w:rPr>
          <w:lang w:val="en-AU"/>
        </w:rPr>
      </w:pPr>
      <w:r w:rsidRPr="00254BA1">
        <w:rPr>
          <w:lang w:val="en-AU"/>
        </w:rPr>
        <w:t>The Republic of Korea supports application of the coordination arc with a value of 8 degrees as coordination criteria, to determine if coordination is required between FSS and MSS systems and between MSS systems in the frequency bands 29.5-30 GHz (Earth-to-space)/19.7</w:t>
      </w:r>
      <w:r w:rsidRPr="00254BA1">
        <w:rPr>
          <w:rFonts w:hint="eastAsia"/>
          <w:lang w:val="en-AU"/>
        </w:rPr>
        <w:t>-</w:t>
      </w:r>
      <w:r w:rsidRPr="00254BA1">
        <w:rPr>
          <w:lang w:val="en-AU"/>
        </w:rPr>
        <w:t xml:space="preserve">20.2 GHz (space-to-Earth), in all </w:t>
      </w:r>
      <w:r w:rsidRPr="001304DF">
        <w:rPr>
          <w:lang w:val="en-ID"/>
        </w:rPr>
        <w:t>Regions</w:t>
      </w:r>
      <w:r w:rsidRPr="00254BA1">
        <w:rPr>
          <w:lang w:val="en-AU"/>
        </w:rPr>
        <w:t>, while keeping the possibility to request application of RR No.</w:t>
      </w:r>
      <w:r>
        <w:rPr>
          <w:lang w:val="en-AU"/>
        </w:rPr>
        <w:t xml:space="preserve"> </w:t>
      </w:r>
      <w:r w:rsidRPr="00254BA1">
        <w:rPr>
          <w:b/>
          <w:lang w:val="en-AU"/>
        </w:rPr>
        <w:t>9.41</w:t>
      </w:r>
      <w:r w:rsidRPr="00254BA1">
        <w:rPr>
          <w:lang w:val="en-AU"/>
        </w:rPr>
        <w:t xml:space="preserve"> to include additional satellite networks that would be affected taking into account the ΔT/T &gt; 6% criteria. </w:t>
      </w:r>
    </w:p>
    <w:p w:rsidR="007B498A" w:rsidRPr="00254BA1" w:rsidRDefault="007B498A" w:rsidP="001304DF">
      <w:pPr>
        <w:numPr>
          <w:ilvl w:val="0"/>
          <w:numId w:val="30"/>
        </w:numPr>
        <w:ind w:leftChars="145" w:left="708"/>
        <w:jc w:val="both"/>
        <w:rPr>
          <w:lang w:val="en-AU"/>
        </w:rPr>
      </w:pPr>
      <w:r w:rsidRPr="00254BA1">
        <w:rPr>
          <w:lang w:val="en-AU"/>
        </w:rPr>
        <w:t xml:space="preserve">Therefore, the Republic of Korea supports modifications to RR Appendix </w:t>
      </w:r>
      <w:r w:rsidRPr="00254BA1">
        <w:rPr>
          <w:b/>
          <w:lang w:val="en-AU"/>
        </w:rPr>
        <w:t>5</w:t>
      </w:r>
      <w:r w:rsidRPr="00254BA1">
        <w:rPr>
          <w:lang w:val="en-AU"/>
        </w:rPr>
        <w:t xml:space="preserve"> </w:t>
      </w:r>
      <w:r>
        <w:rPr>
          <w:rFonts w:hint="eastAsia"/>
          <w:lang w:val="en-AU" w:eastAsia="ko-KR"/>
        </w:rPr>
        <w:t>as shown in the CPM Report</w:t>
      </w:r>
      <w:r w:rsidRPr="00254BA1">
        <w:rPr>
          <w:lang w:val="en-AU"/>
        </w:rPr>
        <w:t xml:space="preserve"> in order to implement this application without modifications to current category of </w:t>
      </w:r>
      <w:r w:rsidRPr="001304DF">
        <w:rPr>
          <w:lang w:val="en-ID"/>
        </w:rPr>
        <w:t>allocation</w:t>
      </w:r>
      <w:r w:rsidRPr="00254BA1">
        <w:rPr>
          <w:lang w:val="en-AU"/>
        </w:rPr>
        <w:t xml:space="preserve"> in the frequency bands above.</w:t>
      </w:r>
    </w:p>
    <w:p w:rsidR="00290AE0" w:rsidRPr="009075E7" w:rsidRDefault="00290AE0" w:rsidP="007F0465">
      <w:pPr>
        <w:rPr>
          <w:rStyle w:val="Hyperlink"/>
          <w:color w:val="auto"/>
          <w:u w:val="none"/>
        </w:rPr>
      </w:pPr>
    </w:p>
    <w:p w:rsidR="009075E7" w:rsidRPr="007974EA" w:rsidRDefault="009075E7" w:rsidP="007974EA">
      <w:pPr>
        <w:pStyle w:val="Style2"/>
      </w:pPr>
      <w:r w:rsidRPr="007974EA">
        <w:t xml:space="preserve">3.2 </w:t>
      </w:r>
      <w:r w:rsidRPr="007974EA">
        <w:tab/>
        <w:t>Summary of issues raised during the meeting</w:t>
      </w:r>
    </w:p>
    <w:p w:rsidR="009075E7" w:rsidRPr="001154F7" w:rsidRDefault="00CA7034" w:rsidP="009075E7">
      <w:pPr>
        <w:numPr>
          <w:ilvl w:val="0"/>
          <w:numId w:val="30"/>
        </w:numPr>
        <w:ind w:leftChars="145" w:left="708"/>
        <w:contextualSpacing/>
        <w:jc w:val="both"/>
        <w:rPr>
          <w:lang w:val="en-ID"/>
        </w:rPr>
      </w:pPr>
      <w:r>
        <w:rPr>
          <w:lang w:val="en-ID"/>
        </w:rPr>
        <w:t>None</w:t>
      </w:r>
      <w:r w:rsidR="007974EA">
        <w:rPr>
          <w:lang w:val="en-ID"/>
        </w:rPr>
        <w:t>.</w:t>
      </w:r>
    </w:p>
    <w:p w:rsidR="009075E7" w:rsidRDefault="009075E7" w:rsidP="009075E7">
      <w:pPr>
        <w:rPr>
          <w:highlight w:val="yellow"/>
          <w:lang w:val="en-NZ" w:eastAsia="ko-KR"/>
        </w:rPr>
      </w:pPr>
    </w:p>
    <w:p w:rsidR="009075E7" w:rsidRPr="001154F7" w:rsidRDefault="009075E7" w:rsidP="009075E7">
      <w:pPr>
        <w:pStyle w:val="Style3"/>
      </w:pPr>
      <w:bookmarkStart w:id="2" w:name="_Hlk15636560"/>
      <w:r w:rsidRPr="001154F7">
        <w:t xml:space="preserve">4. </w:t>
      </w:r>
      <w:r w:rsidRPr="001154F7">
        <w:tab/>
        <w:t>APT View</w:t>
      </w:r>
      <w:r w:rsidR="00F346D2">
        <w:t>s</w:t>
      </w:r>
    </w:p>
    <w:p w:rsidR="00A12AC3" w:rsidRPr="00FD12F2" w:rsidRDefault="009075E7" w:rsidP="00DF051F">
      <w:pPr>
        <w:numPr>
          <w:ilvl w:val="0"/>
          <w:numId w:val="30"/>
        </w:numPr>
        <w:ind w:leftChars="145" w:left="708"/>
        <w:contextualSpacing/>
        <w:jc w:val="both"/>
        <w:rPr>
          <w:lang w:val="en-ID"/>
        </w:rPr>
      </w:pPr>
      <w:r w:rsidRPr="00A12AC3">
        <w:rPr>
          <w:lang w:val="en-ID"/>
        </w:rPr>
        <w:t xml:space="preserve">APT Members support </w:t>
      </w:r>
      <w:r w:rsidR="00D053B4" w:rsidRPr="00A12AC3">
        <w:rPr>
          <w:lang w:val="en-ID"/>
        </w:rPr>
        <w:t xml:space="preserve">the </w:t>
      </w:r>
      <w:r w:rsidR="00A12AC3">
        <w:rPr>
          <w:lang w:val="en-ID"/>
        </w:rPr>
        <w:t>u</w:t>
      </w:r>
      <w:r w:rsidR="00A12AC3" w:rsidRPr="00A12AC3">
        <w:rPr>
          <w:rFonts w:ascii="TimesNewRomanPSMT" w:hAnsi="TimesNewRomanPSMT"/>
          <w:color w:val="000000"/>
        </w:rPr>
        <w:t>se of the coordination arc with a value of 8 degrees as coordination criteria, to determine if</w:t>
      </w:r>
      <w:r w:rsidR="00A12AC3">
        <w:rPr>
          <w:rFonts w:ascii="TimesNewRomanPSMT" w:hAnsi="TimesNewRomanPSMT"/>
          <w:color w:val="000000"/>
        </w:rPr>
        <w:t xml:space="preserve"> </w:t>
      </w:r>
      <w:r w:rsidR="00A12AC3" w:rsidRPr="00A12AC3">
        <w:rPr>
          <w:rFonts w:ascii="TimesNewRomanPSMT" w:hAnsi="TimesNewRomanPSMT"/>
          <w:color w:val="000000"/>
        </w:rPr>
        <w:t>coordination is required between FSS and MSS systems and between MSS systems in the frequency</w:t>
      </w:r>
      <w:r w:rsidR="00A12AC3">
        <w:rPr>
          <w:rFonts w:ascii="TimesNewRomanPSMT" w:hAnsi="TimesNewRomanPSMT"/>
          <w:color w:val="000000"/>
        </w:rPr>
        <w:t xml:space="preserve"> </w:t>
      </w:r>
      <w:r w:rsidR="00A12AC3" w:rsidRPr="00A12AC3">
        <w:rPr>
          <w:rFonts w:ascii="TimesNewRomanPSMT" w:hAnsi="TimesNewRomanPSMT"/>
          <w:color w:val="000000"/>
        </w:rPr>
        <w:t xml:space="preserve">bands 29.5-30 GHz (Earth-to-space)/19.7-20.2 GHz (space-to-Earth), in all 3 Regions, </w:t>
      </w:r>
      <w:r w:rsidR="00EB17A9">
        <w:rPr>
          <w:rFonts w:ascii="TimesNewRomanPSMT" w:hAnsi="TimesNewRomanPSMT"/>
          <w:color w:val="000000"/>
        </w:rPr>
        <w:t xml:space="preserve">while keeping </w:t>
      </w:r>
      <w:r w:rsidR="00EB17A9" w:rsidRPr="00254BA1">
        <w:rPr>
          <w:lang w:val="en-AU"/>
        </w:rPr>
        <w:t>the possibility to request application of RR No.</w:t>
      </w:r>
      <w:r w:rsidR="00EB17A9">
        <w:rPr>
          <w:lang w:val="en-AU"/>
        </w:rPr>
        <w:t xml:space="preserve"> </w:t>
      </w:r>
      <w:r w:rsidR="00EB17A9" w:rsidRPr="00254BA1">
        <w:rPr>
          <w:b/>
          <w:lang w:val="en-AU"/>
        </w:rPr>
        <w:t>9.41</w:t>
      </w:r>
      <w:r w:rsidR="00EB17A9" w:rsidRPr="00254BA1">
        <w:rPr>
          <w:lang w:val="en-AU"/>
        </w:rPr>
        <w:t xml:space="preserve"> to include additional satellite networks that would be affected taking into account the ΔT/T &gt; 6% criteria</w:t>
      </w:r>
      <w:r w:rsidR="00CA7034">
        <w:rPr>
          <w:lang w:val="en-AU"/>
        </w:rPr>
        <w:t xml:space="preserve"> </w:t>
      </w:r>
      <w:r w:rsidR="00CA7034" w:rsidRPr="00254BA1">
        <w:rPr>
          <w:lang w:val="en-AU"/>
        </w:rPr>
        <w:t xml:space="preserve">without modifications to current category of </w:t>
      </w:r>
      <w:r w:rsidR="00CA7034" w:rsidRPr="001304DF">
        <w:rPr>
          <w:lang w:val="en-ID"/>
        </w:rPr>
        <w:t>allocation</w:t>
      </w:r>
      <w:r w:rsidR="00CA7034" w:rsidRPr="00254BA1">
        <w:rPr>
          <w:lang w:val="en-AU"/>
        </w:rPr>
        <w:t xml:space="preserve"> in the frequency bands above</w:t>
      </w:r>
      <w:r w:rsidR="00EB17A9" w:rsidRPr="00254BA1">
        <w:rPr>
          <w:lang w:val="en-AU"/>
        </w:rPr>
        <w:t>.</w:t>
      </w:r>
    </w:p>
    <w:p w:rsidR="00FD12F2" w:rsidRPr="00A12AC3" w:rsidRDefault="00FD12F2" w:rsidP="00DF051F">
      <w:pPr>
        <w:numPr>
          <w:ilvl w:val="0"/>
          <w:numId w:val="30"/>
        </w:numPr>
        <w:ind w:leftChars="145" w:left="708"/>
        <w:contextualSpacing/>
        <w:jc w:val="both"/>
        <w:rPr>
          <w:lang w:val="en-ID"/>
        </w:rPr>
      </w:pPr>
      <w:r w:rsidRPr="00FD12F2">
        <w:rPr>
          <w:lang w:val="en-ID"/>
        </w:rPr>
        <w:t xml:space="preserve">APT Members agree to develop </w:t>
      </w:r>
      <w:r w:rsidR="0039319C" w:rsidRPr="003A1948">
        <w:t xml:space="preserve">Preliminary APT Common Proposal (PACP) </w:t>
      </w:r>
      <w:r w:rsidRPr="00FD12F2">
        <w:rPr>
          <w:lang w:val="en-ID"/>
        </w:rPr>
        <w:t xml:space="preserve">based </w:t>
      </w:r>
      <w:r>
        <w:rPr>
          <w:lang w:val="en-ID"/>
        </w:rPr>
        <w:t>on this view.</w:t>
      </w:r>
    </w:p>
    <w:bookmarkEnd w:id="2"/>
    <w:p w:rsidR="005D2F06" w:rsidRDefault="005D2F06" w:rsidP="005D2F06">
      <w:pPr>
        <w:contextualSpacing/>
        <w:jc w:val="both"/>
        <w:rPr>
          <w:lang w:val="en-ID"/>
        </w:rPr>
      </w:pPr>
    </w:p>
    <w:p w:rsidR="00E15158" w:rsidRPr="00E15158" w:rsidRDefault="00E15158" w:rsidP="00E15158">
      <w:pPr>
        <w:pStyle w:val="Style3"/>
      </w:pPr>
      <w:r w:rsidRPr="00EE36C2">
        <w:t xml:space="preserve">5. </w:t>
      </w:r>
      <w:r w:rsidRPr="00EE36C2">
        <w:tab/>
      </w:r>
      <w:r w:rsidRPr="00E15158">
        <w:t>Preliminary APT Common Proposal</w:t>
      </w:r>
    </w:p>
    <w:p w:rsidR="009075E7" w:rsidRDefault="009075E7" w:rsidP="009075E7"/>
    <w:bookmarkStart w:id="3" w:name="_GoBack"/>
    <w:bookmarkStart w:id="4" w:name="_MON_1626462343"/>
    <w:bookmarkEnd w:id="4"/>
    <w:p w:rsidR="00D42A5C" w:rsidRDefault="00780107" w:rsidP="009075E7">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0" o:title=""/>
          </v:shape>
          <o:OLEObject Type="Embed" ProgID="Word.Document.12" ShapeID="_x0000_i1025" DrawAspect="Icon" ObjectID="_1626783097" r:id="rId31">
            <o:FieldCodes>\s</o:FieldCodes>
          </o:OLEObject>
        </w:object>
      </w:r>
      <w:bookmarkEnd w:id="3"/>
    </w:p>
    <w:p w:rsidR="00D42A5C" w:rsidRDefault="00D42A5C" w:rsidP="009075E7">
      <w:pPr>
        <w:rPr>
          <w:b/>
          <w:highlight w:val="yellow"/>
          <w:lang w:val="en-NZ"/>
        </w:rPr>
      </w:pPr>
    </w:p>
    <w:p w:rsidR="009075E7" w:rsidRPr="00E258C5" w:rsidRDefault="009075E7" w:rsidP="009075E7">
      <w:pPr>
        <w:ind w:left="708"/>
        <w:jc w:val="both"/>
        <w:rPr>
          <w:highlight w:val="yellow"/>
          <w:lang w:val="en-NZ"/>
        </w:rPr>
      </w:pPr>
    </w:p>
    <w:p w:rsidR="00173A24" w:rsidRDefault="00173A24">
      <w:pPr>
        <w:rPr>
          <w:b/>
          <w:bCs/>
          <w:u w:val="single"/>
        </w:rPr>
      </w:pPr>
    </w:p>
    <w:sectPr w:rsidR="00173A24" w:rsidSect="00815339">
      <w:headerReference w:type="default" r:id="rId32"/>
      <w:footerReference w:type="even" r:id="rId33"/>
      <w:footerReference w:type="default" r:id="rId34"/>
      <w:footerReference w:type="first" r:id="rId3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A9" w:rsidRDefault="009404A9">
      <w:r>
        <w:separator/>
      </w:r>
    </w:p>
  </w:endnote>
  <w:endnote w:type="continuationSeparator" w:id="0">
    <w:p w:rsidR="009404A9" w:rsidRDefault="0094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ivaldi">
    <w:panose1 w:val="03020602050506090804"/>
    <w:charset w:val="00"/>
    <w:family w:val="script"/>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30" w:rsidRDefault="00CE593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930" w:rsidRDefault="00CE593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30" w:rsidRDefault="00CE5930" w:rsidP="001A25A5">
    <w:pPr>
      <w:pStyle w:val="Footer"/>
      <w:ind w:right="360"/>
    </w:pPr>
    <w:r>
      <w:rPr>
        <w:rFonts w:hint="eastAsia"/>
        <w:lang w:eastAsia="ko-KR"/>
      </w:rPr>
      <w:t>A</w:t>
    </w:r>
    <w:r>
      <w:rPr>
        <w:lang w:eastAsia="ko-KR"/>
      </w:rPr>
      <w:t>PG19</w:t>
    </w:r>
    <w:r>
      <w:rPr>
        <w:rFonts w:hint="eastAsia"/>
        <w:lang w:eastAsia="ko-KR"/>
      </w:rPr>
      <w:t>-</w:t>
    </w:r>
    <w:r>
      <w:rPr>
        <w:lang w:eastAsia="ko-KR"/>
      </w:rPr>
      <w:t>5</w:t>
    </w:r>
    <w:r>
      <w:rPr>
        <w:rFonts w:hint="eastAsia"/>
        <w:lang w:eastAsia="ko-KR"/>
      </w:rPr>
      <w:t>/</w:t>
    </w:r>
    <w:r w:rsidR="000F5B42">
      <w:rPr>
        <w:lang w:eastAsia="ko-KR"/>
      </w:rPr>
      <w:t>OUT-08</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368DE">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368DE">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3061"/>
      <w:gridCol w:w="5245"/>
    </w:tblGrid>
    <w:tr w:rsidR="00CE5930" w:rsidRPr="001A25A5" w:rsidTr="000F5B42">
      <w:trPr>
        <w:cantSplit/>
        <w:trHeight w:val="204"/>
        <w:jc w:val="center"/>
      </w:trPr>
      <w:tc>
        <w:tcPr>
          <w:tcW w:w="1617" w:type="dxa"/>
          <w:tcBorders>
            <w:top w:val="single" w:sz="12" w:space="0" w:color="auto"/>
          </w:tcBorders>
        </w:tcPr>
        <w:p w:rsidR="00CE5930" w:rsidRPr="001A25A5" w:rsidRDefault="00CE5930" w:rsidP="00EF1268">
          <w:pPr>
            <w:rPr>
              <w:b/>
              <w:bCs/>
            </w:rPr>
          </w:pPr>
          <w:r w:rsidRPr="001A25A5">
            <w:rPr>
              <w:b/>
              <w:bCs/>
            </w:rPr>
            <w:t>Contact:</w:t>
          </w:r>
        </w:p>
      </w:tc>
      <w:tc>
        <w:tcPr>
          <w:tcW w:w="3061" w:type="dxa"/>
          <w:tcBorders>
            <w:top w:val="single" w:sz="12" w:space="0" w:color="auto"/>
          </w:tcBorders>
        </w:tcPr>
        <w:p w:rsidR="00CE5930" w:rsidRPr="001A25A5" w:rsidRDefault="000F5B42" w:rsidP="00EF1268">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Muneo Abe</w:t>
          </w:r>
        </w:p>
        <w:p w:rsidR="00CE5930" w:rsidRPr="001A25A5" w:rsidRDefault="000F5B42" w:rsidP="00EF1268">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Chairman, WP 3</w:t>
          </w:r>
        </w:p>
      </w:tc>
      <w:tc>
        <w:tcPr>
          <w:tcW w:w="5245" w:type="dxa"/>
          <w:tcBorders>
            <w:top w:val="single" w:sz="12" w:space="0" w:color="auto"/>
          </w:tcBorders>
        </w:tcPr>
        <w:p w:rsidR="00CE5930" w:rsidRPr="001A25A5" w:rsidRDefault="00CE5930" w:rsidP="00EF1268">
          <w:pPr>
            <w:rPr>
              <w:lang w:eastAsia="ja-JP"/>
            </w:rPr>
          </w:pPr>
          <w:r w:rsidRPr="001A25A5">
            <w:t>Email</w:t>
          </w:r>
          <w:r w:rsidRPr="001A25A5">
            <w:rPr>
              <w:rFonts w:hint="eastAsia"/>
            </w:rPr>
            <w:t xml:space="preserve">: </w:t>
          </w:r>
          <w:r w:rsidR="000F5B42">
            <w:t>Abe.Muneo@cj.MitsubishiElectric.co.jp</w:t>
          </w:r>
        </w:p>
      </w:tc>
    </w:tr>
  </w:tbl>
  <w:p w:rsidR="00CE5930" w:rsidRPr="00EF1268" w:rsidRDefault="00CE5930" w:rsidP="00EF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A9" w:rsidRDefault="009404A9">
      <w:r>
        <w:separator/>
      </w:r>
    </w:p>
  </w:footnote>
  <w:footnote w:type="continuationSeparator" w:id="0">
    <w:p w:rsidR="009404A9" w:rsidRDefault="00940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30" w:rsidRDefault="00CE5930" w:rsidP="00C15633">
    <w:pPr>
      <w:pStyle w:val="Header"/>
      <w:tabs>
        <w:tab w:val="center" w:pos="4763"/>
        <w:tab w:val="left" w:pos="5820"/>
      </w:tabs>
      <w:rPr>
        <w:lang w:eastAsia="ko-KR"/>
      </w:rPr>
    </w:pPr>
    <w:r>
      <w:rPr>
        <w:lang w:eastAsia="ko-KR"/>
      </w:rPr>
      <w:tab/>
    </w:r>
  </w:p>
  <w:p w:rsidR="00CE5930" w:rsidRDefault="00CE593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7CE0FA9"/>
    <w:multiLevelType w:val="hybridMultilevel"/>
    <w:tmpl w:val="5F188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717BF"/>
    <w:multiLevelType w:val="hybridMultilevel"/>
    <w:tmpl w:val="714261E4"/>
    <w:lvl w:ilvl="0" w:tplc="85FCAFBE">
      <w:start w:val="1"/>
      <w:numFmt w:val="decimal"/>
      <w:lvlText w:val="(%1)"/>
      <w:lvlJc w:val="left"/>
      <w:pPr>
        <w:ind w:left="1068" w:hanging="360"/>
      </w:pPr>
      <w:rPr>
        <w:rFonts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06A5F54"/>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65CFB"/>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755A59"/>
    <w:multiLevelType w:val="multilevel"/>
    <w:tmpl w:val="3D5EBAA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79721C"/>
    <w:multiLevelType w:val="hybridMultilevel"/>
    <w:tmpl w:val="F2740498"/>
    <w:lvl w:ilvl="0" w:tplc="1ECCF9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D8B0A67"/>
    <w:multiLevelType w:val="hybridMultilevel"/>
    <w:tmpl w:val="7CC4E9B8"/>
    <w:lvl w:ilvl="0" w:tplc="BB369C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E463D0"/>
    <w:multiLevelType w:val="hybridMultilevel"/>
    <w:tmpl w:val="F2740498"/>
    <w:lvl w:ilvl="0" w:tplc="1ECCF9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1684799"/>
    <w:multiLevelType w:val="hybridMultilevel"/>
    <w:tmpl w:val="A2343506"/>
    <w:lvl w:ilvl="0" w:tplc="A17A74EA">
      <w:start w:val="1"/>
      <w:numFmt w:val="bullet"/>
      <w:lvlText w:val=""/>
      <w:lvlJc w:val="left"/>
      <w:pPr>
        <w:ind w:left="1440" w:hanging="360"/>
      </w:pPr>
      <w:rPr>
        <w:rFonts w:ascii="Symbol" w:hAnsi="Symbol" w:hint="default"/>
        <w:sz w:val="1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49E69B2"/>
    <w:multiLevelType w:val="hybridMultilevel"/>
    <w:tmpl w:val="4A9A7FCE"/>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3">
      <w:start w:val="1"/>
      <w:numFmt w:val="bullet"/>
      <w:lvlText w:val="o"/>
      <w:lvlJc w:val="left"/>
      <w:pPr>
        <w:ind w:left="1120" w:hanging="400"/>
      </w:pPr>
      <w:rPr>
        <w:rFonts w:ascii="Courier New" w:hAnsi="Courier New" w:cs="Courier New"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70A6579"/>
    <w:multiLevelType w:val="hybridMultilevel"/>
    <w:tmpl w:val="59463F38"/>
    <w:lvl w:ilvl="0" w:tplc="001A680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43BDC"/>
    <w:multiLevelType w:val="hybridMultilevel"/>
    <w:tmpl w:val="AA643B1E"/>
    <w:lvl w:ilvl="0" w:tplc="CB7499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39B0762"/>
    <w:multiLevelType w:val="hybridMultilevel"/>
    <w:tmpl w:val="6560B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82C2543"/>
    <w:multiLevelType w:val="hybridMultilevel"/>
    <w:tmpl w:val="4EE2C18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48C8B154">
      <w:start w:val="1"/>
      <w:numFmt w:val="bullet"/>
      <w:lvlText w:val=""/>
      <w:lvlJc w:val="left"/>
      <w:pPr>
        <w:ind w:left="1120" w:hanging="400"/>
      </w:pPr>
      <w:rPr>
        <w:rFonts w:ascii="Wingdings" w:hAnsi="Wingdings" w:hint="default"/>
        <w:sz w:val="16"/>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2" w15:restartNumberingAfterBreak="0">
    <w:nsid w:val="3AEB793C"/>
    <w:multiLevelType w:val="hybridMultilevel"/>
    <w:tmpl w:val="A180204A"/>
    <w:lvl w:ilvl="0" w:tplc="34CE0FC0">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4" w15:restartNumberingAfterBreak="0">
    <w:nsid w:val="4095652F"/>
    <w:multiLevelType w:val="hybridMultilevel"/>
    <w:tmpl w:val="1B9C83E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14EBFA">
      <w:start w:val="1"/>
      <w:numFmt w:val="bullet"/>
      <w:lvlText w:val="-"/>
      <w:lvlJc w:val="left"/>
      <w:pPr>
        <w:ind w:left="1120" w:hanging="400"/>
      </w:pPr>
      <w:rPr>
        <w:rFonts w:ascii="Malgun Gothic" w:eastAsia="Malgun Gothic" w:hAnsi="Malgun Gothic" w:cstheme="minorBidi" w:hint="eastAsia"/>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43431216"/>
    <w:multiLevelType w:val="hybridMultilevel"/>
    <w:tmpl w:val="4AE00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9619EC"/>
    <w:multiLevelType w:val="hybridMultilevel"/>
    <w:tmpl w:val="65943636"/>
    <w:lvl w:ilvl="0" w:tplc="62B29F86">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47E60585"/>
    <w:multiLevelType w:val="hybridMultilevel"/>
    <w:tmpl w:val="EFD692C2"/>
    <w:lvl w:ilvl="0" w:tplc="5B7E6A96">
      <w:start w:val="1"/>
      <w:numFmt w:val="bullet"/>
      <w:lvlText w:val="&gt;"/>
      <w:lvlJc w:val="left"/>
      <w:pPr>
        <w:ind w:left="720" w:hanging="360"/>
      </w:pPr>
      <w:rPr>
        <w:rFonts w:ascii="Vivaldi" w:hAnsi="Vivaldi" w:hint="default"/>
      </w:rPr>
    </w:lvl>
    <w:lvl w:ilvl="1" w:tplc="5B7E6A96">
      <w:start w:val="1"/>
      <w:numFmt w:val="bullet"/>
      <w:lvlText w:val="&gt;"/>
      <w:lvlJc w:val="left"/>
      <w:pPr>
        <w:ind w:left="2220" w:hanging="1140"/>
      </w:pPr>
      <w:rPr>
        <w:rFonts w:ascii="Vivaldi" w:hAnsi="Vival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F17A4E"/>
    <w:multiLevelType w:val="hybridMultilevel"/>
    <w:tmpl w:val="B628A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1E3E72"/>
    <w:multiLevelType w:val="hybridMultilevel"/>
    <w:tmpl w:val="5D0A9FAC"/>
    <w:lvl w:ilvl="0" w:tplc="6E32F422">
      <w:start w:val="1"/>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06AB5"/>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910A32"/>
    <w:multiLevelType w:val="hybridMultilevel"/>
    <w:tmpl w:val="A478108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2" w15:restartNumberingAfterBreak="0">
    <w:nsid w:val="66D41096"/>
    <w:multiLevelType w:val="multilevel"/>
    <w:tmpl w:val="D708EB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14176E"/>
    <w:multiLevelType w:val="hybridMultilevel"/>
    <w:tmpl w:val="2668E004"/>
    <w:lvl w:ilvl="0" w:tplc="A2D8EBF2">
      <w:start w:val="1"/>
      <w:numFmt w:val="bullet"/>
      <w:lvlText w:val=""/>
      <w:lvlJc w:val="left"/>
      <w:pPr>
        <w:tabs>
          <w:tab w:val="num" w:pos="720"/>
        </w:tabs>
        <w:ind w:left="720" w:hanging="360"/>
      </w:pPr>
      <w:rPr>
        <w:rFonts w:ascii="Wingdings" w:hAnsi="Wingdings" w:hint="default"/>
      </w:rPr>
    </w:lvl>
    <w:lvl w:ilvl="1" w:tplc="3B327A0E" w:tentative="1">
      <w:start w:val="1"/>
      <w:numFmt w:val="bullet"/>
      <w:lvlText w:val=""/>
      <w:lvlJc w:val="left"/>
      <w:pPr>
        <w:tabs>
          <w:tab w:val="num" w:pos="1440"/>
        </w:tabs>
        <w:ind w:left="1440" w:hanging="360"/>
      </w:pPr>
      <w:rPr>
        <w:rFonts w:ascii="Wingdings" w:hAnsi="Wingdings" w:hint="default"/>
      </w:rPr>
    </w:lvl>
    <w:lvl w:ilvl="2" w:tplc="FD763D98" w:tentative="1">
      <w:start w:val="1"/>
      <w:numFmt w:val="bullet"/>
      <w:lvlText w:val=""/>
      <w:lvlJc w:val="left"/>
      <w:pPr>
        <w:tabs>
          <w:tab w:val="num" w:pos="2160"/>
        </w:tabs>
        <w:ind w:left="2160" w:hanging="360"/>
      </w:pPr>
      <w:rPr>
        <w:rFonts w:ascii="Wingdings" w:hAnsi="Wingdings" w:hint="default"/>
      </w:rPr>
    </w:lvl>
    <w:lvl w:ilvl="3" w:tplc="72BCFC30" w:tentative="1">
      <w:start w:val="1"/>
      <w:numFmt w:val="bullet"/>
      <w:lvlText w:val=""/>
      <w:lvlJc w:val="left"/>
      <w:pPr>
        <w:tabs>
          <w:tab w:val="num" w:pos="2880"/>
        </w:tabs>
        <w:ind w:left="2880" w:hanging="360"/>
      </w:pPr>
      <w:rPr>
        <w:rFonts w:ascii="Wingdings" w:hAnsi="Wingdings" w:hint="default"/>
      </w:rPr>
    </w:lvl>
    <w:lvl w:ilvl="4" w:tplc="7FBCF262" w:tentative="1">
      <w:start w:val="1"/>
      <w:numFmt w:val="bullet"/>
      <w:lvlText w:val=""/>
      <w:lvlJc w:val="left"/>
      <w:pPr>
        <w:tabs>
          <w:tab w:val="num" w:pos="3600"/>
        </w:tabs>
        <w:ind w:left="3600" w:hanging="360"/>
      </w:pPr>
      <w:rPr>
        <w:rFonts w:ascii="Wingdings" w:hAnsi="Wingdings" w:hint="default"/>
      </w:rPr>
    </w:lvl>
    <w:lvl w:ilvl="5" w:tplc="29E21BB0" w:tentative="1">
      <w:start w:val="1"/>
      <w:numFmt w:val="bullet"/>
      <w:lvlText w:val=""/>
      <w:lvlJc w:val="left"/>
      <w:pPr>
        <w:tabs>
          <w:tab w:val="num" w:pos="4320"/>
        </w:tabs>
        <w:ind w:left="4320" w:hanging="360"/>
      </w:pPr>
      <w:rPr>
        <w:rFonts w:ascii="Wingdings" w:hAnsi="Wingdings" w:hint="default"/>
      </w:rPr>
    </w:lvl>
    <w:lvl w:ilvl="6" w:tplc="A250422E" w:tentative="1">
      <w:start w:val="1"/>
      <w:numFmt w:val="bullet"/>
      <w:lvlText w:val=""/>
      <w:lvlJc w:val="left"/>
      <w:pPr>
        <w:tabs>
          <w:tab w:val="num" w:pos="5040"/>
        </w:tabs>
        <w:ind w:left="5040" w:hanging="360"/>
      </w:pPr>
      <w:rPr>
        <w:rFonts w:ascii="Wingdings" w:hAnsi="Wingdings" w:hint="default"/>
      </w:rPr>
    </w:lvl>
    <w:lvl w:ilvl="7" w:tplc="666E06D6" w:tentative="1">
      <w:start w:val="1"/>
      <w:numFmt w:val="bullet"/>
      <w:lvlText w:val=""/>
      <w:lvlJc w:val="left"/>
      <w:pPr>
        <w:tabs>
          <w:tab w:val="num" w:pos="5760"/>
        </w:tabs>
        <w:ind w:left="5760" w:hanging="360"/>
      </w:pPr>
      <w:rPr>
        <w:rFonts w:ascii="Wingdings" w:hAnsi="Wingdings" w:hint="default"/>
      </w:rPr>
    </w:lvl>
    <w:lvl w:ilvl="8" w:tplc="BC9EB42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A4FEA"/>
    <w:multiLevelType w:val="hybridMultilevel"/>
    <w:tmpl w:val="16D2B77C"/>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30132E8"/>
    <w:multiLevelType w:val="hybridMultilevel"/>
    <w:tmpl w:val="6C8EFA10"/>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7" w15:restartNumberingAfterBreak="0">
    <w:nsid w:val="75CF4B37"/>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1B31CB"/>
    <w:multiLevelType w:val="hybridMultilevel"/>
    <w:tmpl w:val="FC40E4EA"/>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A26444">
      <w:start w:val="1"/>
      <w:numFmt w:val="bullet"/>
      <w:lvlText w:val=""/>
      <w:lvlJc w:val="left"/>
      <w:pPr>
        <w:ind w:left="1120" w:hanging="400"/>
      </w:pPr>
      <w:rPr>
        <w:rFonts w:ascii="Symbol" w:hAnsi="Symbol" w:hint="default"/>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9" w15:restartNumberingAfterBreak="0">
    <w:nsid w:val="7F8F7260"/>
    <w:multiLevelType w:val="hybridMultilevel"/>
    <w:tmpl w:val="BE5C4D32"/>
    <w:lvl w:ilvl="0" w:tplc="B0AA07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4"/>
  </w:num>
  <w:num w:numId="3">
    <w:abstractNumId w:val="12"/>
  </w:num>
  <w:num w:numId="4">
    <w:abstractNumId w:val="35"/>
  </w:num>
  <w:num w:numId="5">
    <w:abstractNumId w:val="17"/>
  </w:num>
  <w:num w:numId="6">
    <w:abstractNumId w:val="20"/>
  </w:num>
  <w:num w:numId="7">
    <w:abstractNumId w:val="10"/>
  </w:num>
  <w:num w:numId="8">
    <w:abstractNumId w:val="3"/>
  </w:num>
  <w:num w:numId="9">
    <w:abstractNumId w:val="33"/>
  </w:num>
  <w:num w:numId="10">
    <w:abstractNumId w:val="15"/>
  </w:num>
  <w:num w:numId="11">
    <w:abstractNumId w:val="25"/>
  </w:num>
  <w:num w:numId="12">
    <w:abstractNumId w:val="39"/>
  </w:num>
  <w:num w:numId="13">
    <w:abstractNumId w:val="5"/>
  </w:num>
  <w:num w:numId="14">
    <w:abstractNumId w:val="4"/>
  </w:num>
  <w:num w:numId="15">
    <w:abstractNumId w:val="30"/>
  </w:num>
  <w:num w:numId="16">
    <w:abstractNumId w:val="37"/>
  </w:num>
  <w:num w:numId="17">
    <w:abstractNumId w:val="28"/>
  </w:num>
  <w:num w:numId="18">
    <w:abstractNumId w:val="1"/>
  </w:num>
  <w:num w:numId="19">
    <w:abstractNumId w:val="29"/>
  </w:num>
  <w:num w:numId="20">
    <w:abstractNumId w:val="18"/>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9"/>
  </w:num>
  <w:num w:numId="26">
    <w:abstractNumId w:val="34"/>
  </w:num>
  <w:num w:numId="27">
    <w:abstractNumId w:val="16"/>
  </w:num>
  <w:num w:numId="28">
    <w:abstractNumId w:val="0"/>
  </w:num>
  <w:num w:numId="29">
    <w:abstractNumId w:val="27"/>
  </w:num>
  <w:num w:numId="30">
    <w:abstractNumId w:val="23"/>
  </w:num>
  <w:num w:numId="31">
    <w:abstractNumId w:val="26"/>
  </w:num>
  <w:num w:numId="32">
    <w:abstractNumId w:val="2"/>
  </w:num>
  <w:num w:numId="33">
    <w:abstractNumId w:val="8"/>
  </w:num>
  <w:num w:numId="34">
    <w:abstractNumId w:val="13"/>
  </w:num>
  <w:num w:numId="35">
    <w:abstractNumId w:val="31"/>
  </w:num>
  <w:num w:numId="36">
    <w:abstractNumId w:val="38"/>
  </w:num>
  <w:num w:numId="37">
    <w:abstractNumId w:val="24"/>
  </w:num>
  <w:num w:numId="38">
    <w:abstractNumId w:val="36"/>
  </w:num>
  <w:num w:numId="39">
    <w:abstractNumId w:val="21"/>
  </w:num>
  <w:num w:numId="40">
    <w:abstractNumId w:val="3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ID"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D" w:vendorID="64" w:dllVersion="131078" w:nlCheck="1" w:checkStyle="1"/>
  <w:activeWritingStyle w:appName="MSWord" w:lang="en-NZ" w:vendorID="64" w:dllVersion="131078" w:nlCheck="1" w:checkStyle="1"/>
  <w:activeWritingStyle w:appName="MSWord" w:lang="fr-FR"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zNDUwNrA0NDOwNDFX0lEKTi0uzszPAykwNKwFANvvb9ctAAAA"/>
  </w:docVars>
  <w:rsids>
    <w:rsidRoot w:val="00C15633"/>
    <w:rsid w:val="0000511E"/>
    <w:rsid w:val="000157AA"/>
    <w:rsid w:val="0003595B"/>
    <w:rsid w:val="000476FF"/>
    <w:rsid w:val="00047725"/>
    <w:rsid w:val="00062584"/>
    <w:rsid w:val="000636AC"/>
    <w:rsid w:val="000713CF"/>
    <w:rsid w:val="00071D3D"/>
    <w:rsid w:val="00071EBF"/>
    <w:rsid w:val="0008682D"/>
    <w:rsid w:val="000A0356"/>
    <w:rsid w:val="000A5418"/>
    <w:rsid w:val="000B3614"/>
    <w:rsid w:val="000C5439"/>
    <w:rsid w:val="000E3F8C"/>
    <w:rsid w:val="000F517C"/>
    <w:rsid w:val="000F5540"/>
    <w:rsid w:val="000F5B42"/>
    <w:rsid w:val="001135F0"/>
    <w:rsid w:val="00122E23"/>
    <w:rsid w:val="00127876"/>
    <w:rsid w:val="001304DF"/>
    <w:rsid w:val="001368DE"/>
    <w:rsid w:val="001539DD"/>
    <w:rsid w:val="00154734"/>
    <w:rsid w:val="00173A24"/>
    <w:rsid w:val="00174F4E"/>
    <w:rsid w:val="00182501"/>
    <w:rsid w:val="00196568"/>
    <w:rsid w:val="001A25A5"/>
    <w:rsid w:val="001A2F16"/>
    <w:rsid w:val="001A49BE"/>
    <w:rsid w:val="001B12D2"/>
    <w:rsid w:val="001B18C2"/>
    <w:rsid w:val="001B36C3"/>
    <w:rsid w:val="001B7940"/>
    <w:rsid w:val="001D5D7E"/>
    <w:rsid w:val="001F00FC"/>
    <w:rsid w:val="002026FD"/>
    <w:rsid w:val="00222479"/>
    <w:rsid w:val="00240DC8"/>
    <w:rsid w:val="0024690A"/>
    <w:rsid w:val="00246FDE"/>
    <w:rsid w:val="00250FBF"/>
    <w:rsid w:val="002534A9"/>
    <w:rsid w:val="00254A1B"/>
    <w:rsid w:val="00255115"/>
    <w:rsid w:val="0026602D"/>
    <w:rsid w:val="002700A2"/>
    <w:rsid w:val="0028454D"/>
    <w:rsid w:val="0029062A"/>
    <w:rsid w:val="00290AE0"/>
    <w:rsid w:val="00291C9E"/>
    <w:rsid w:val="002924D3"/>
    <w:rsid w:val="002926D4"/>
    <w:rsid w:val="00293A2B"/>
    <w:rsid w:val="002A4C91"/>
    <w:rsid w:val="002C07DA"/>
    <w:rsid w:val="002C2F0D"/>
    <w:rsid w:val="002C3597"/>
    <w:rsid w:val="002C3BEA"/>
    <w:rsid w:val="002C7EA9"/>
    <w:rsid w:val="002E2D3B"/>
    <w:rsid w:val="002F2171"/>
    <w:rsid w:val="002F7ED7"/>
    <w:rsid w:val="00302A3A"/>
    <w:rsid w:val="00304B63"/>
    <w:rsid w:val="00305871"/>
    <w:rsid w:val="0031553A"/>
    <w:rsid w:val="00320A58"/>
    <w:rsid w:val="00322061"/>
    <w:rsid w:val="00322377"/>
    <w:rsid w:val="003235AC"/>
    <w:rsid w:val="00327DCA"/>
    <w:rsid w:val="00333E36"/>
    <w:rsid w:val="003427AB"/>
    <w:rsid w:val="00342F20"/>
    <w:rsid w:val="0035532A"/>
    <w:rsid w:val="00373BD1"/>
    <w:rsid w:val="003809C7"/>
    <w:rsid w:val="0038104C"/>
    <w:rsid w:val="00384E9B"/>
    <w:rsid w:val="0039319C"/>
    <w:rsid w:val="0039719A"/>
    <w:rsid w:val="00397990"/>
    <w:rsid w:val="003A1948"/>
    <w:rsid w:val="003B6263"/>
    <w:rsid w:val="003C64A7"/>
    <w:rsid w:val="003D3FDA"/>
    <w:rsid w:val="003D429E"/>
    <w:rsid w:val="00403574"/>
    <w:rsid w:val="0041043E"/>
    <w:rsid w:val="00410908"/>
    <w:rsid w:val="00420822"/>
    <w:rsid w:val="0044575D"/>
    <w:rsid w:val="0045458F"/>
    <w:rsid w:val="004615D9"/>
    <w:rsid w:val="004633B4"/>
    <w:rsid w:val="0046499E"/>
    <w:rsid w:val="00480268"/>
    <w:rsid w:val="00481C3E"/>
    <w:rsid w:val="00492703"/>
    <w:rsid w:val="00495D82"/>
    <w:rsid w:val="004A36F3"/>
    <w:rsid w:val="004A4D35"/>
    <w:rsid w:val="004A7471"/>
    <w:rsid w:val="004B3553"/>
    <w:rsid w:val="004B59BD"/>
    <w:rsid w:val="004B5B4F"/>
    <w:rsid w:val="004B679F"/>
    <w:rsid w:val="004C1654"/>
    <w:rsid w:val="004C3328"/>
    <w:rsid w:val="004D79AB"/>
    <w:rsid w:val="004E1575"/>
    <w:rsid w:val="004E21B0"/>
    <w:rsid w:val="004E58AD"/>
    <w:rsid w:val="004E5C70"/>
    <w:rsid w:val="004F28F7"/>
    <w:rsid w:val="005240BB"/>
    <w:rsid w:val="005254F4"/>
    <w:rsid w:val="00530E8C"/>
    <w:rsid w:val="00540781"/>
    <w:rsid w:val="0054105C"/>
    <w:rsid w:val="00545933"/>
    <w:rsid w:val="00557544"/>
    <w:rsid w:val="005744E9"/>
    <w:rsid w:val="005835E4"/>
    <w:rsid w:val="00587875"/>
    <w:rsid w:val="00596FE4"/>
    <w:rsid w:val="005D2F06"/>
    <w:rsid w:val="005D6A37"/>
    <w:rsid w:val="00607E2B"/>
    <w:rsid w:val="00612BFE"/>
    <w:rsid w:val="006139D6"/>
    <w:rsid w:val="00620AA5"/>
    <w:rsid w:val="00623CE1"/>
    <w:rsid w:val="0063062B"/>
    <w:rsid w:val="0064076F"/>
    <w:rsid w:val="00655014"/>
    <w:rsid w:val="00667229"/>
    <w:rsid w:val="00674979"/>
    <w:rsid w:val="00682BE5"/>
    <w:rsid w:val="00690FED"/>
    <w:rsid w:val="006939A5"/>
    <w:rsid w:val="00694FA8"/>
    <w:rsid w:val="006A007B"/>
    <w:rsid w:val="006A439B"/>
    <w:rsid w:val="006B0882"/>
    <w:rsid w:val="006C0BF6"/>
    <w:rsid w:val="006C69DE"/>
    <w:rsid w:val="006D1C34"/>
    <w:rsid w:val="006D3DEE"/>
    <w:rsid w:val="006F3199"/>
    <w:rsid w:val="00704703"/>
    <w:rsid w:val="00707B2D"/>
    <w:rsid w:val="00712451"/>
    <w:rsid w:val="00722889"/>
    <w:rsid w:val="00731041"/>
    <w:rsid w:val="007319EE"/>
    <w:rsid w:val="00732F08"/>
    <w:rsid w:val="00736D03"/>
    <w:rsid w:val="0074190C"/>
    <w:rsid w:val="00762576"/>
    <w:rsid w:val="007764D8"/>
    <w:rsid w:val="007766C8"/>
    <w:rsid w:val="00780107"/>
    <w:rsid w:val="00787437"/>
    <w:rsid w:val="00791060"/>
    <w:rsid w:val="00795248"/>
    <w:rsid w:val="007974EA"/>
    <w:rsid w:val="007A4AAA"/>
    <w:rsid w:val="007B498A"/>
    <w:rsid w:val="007B5626"/>
    <w:rsid w:val="007E11FD"/>
    <w:rsid w:val="007E5057"/>
    <w:rsid w:val="007E622D"/>
    <w:rsid w:val="007F0465"/>
    <w:rsid w:val="007F1F29"/>
    <w:rsid w:val="0080570B"/>
    <w:rsid w:val="0081061E"/>
    <w:rsid w:val="008148E1"/>
    <w:rsid w:val="00815339"/>
    <w:rsid w:val="00827F51"/>
    <w:rsid w:val="008319BF"/>
    <w:rsid w:val="00843A32"/>
    <w:rsid w:val="00851BFC"/>
    <w:rsid w:val="0086130A"/>
    <w:rsid w:val="00870695"/>
    <w:rsid w:val="0088556B"/>
    <w:rsid w:val="00885EA8"/>
    <w:rsid w:val="00887BD4"/>
    <w:rsid w:val="00891EA3"/>
    <w:rsid w:val="008A6FC4"/>
    <w:rsid w:val="008B07F9"/>
    <w:rsid w:val="008C59DF"/>
    <w:rsid w:val="008D0E09"/>
    <w:rsid w:val="008D2B78"/>
    <w:rsid w:val="008F26A8"/>
    <w:rsid w:val="009075E7"/>
    <w:rsid w:val="00937705"/>
    <w:rsid w:val="009404A9"/>
    <w:rsid w:val="00942EAA"/>
    <w:rsid w:val="00951B0D"/>
    <w:rsid w:val="00957023"/>
    <w:rsid w:val="00963BB7"/>
    <w:rsid w:val="00971C6E"/>
    <w:rsid w:val="0097693B"/>
    <w:rsid w:val="00981E2D"/>
    <w:rsid w:val="00993355"/>
    <w:rsid w:val="009A4A6D"/>
    <w:rsid w:val="009B537E"/>
    <w:rsid w:val="009B5933"/>
    <w:rsid w:val="009D52B8"/>
    <w:rsid w:val="009E071E"/>
    <w:rsid w:val="009E28F6"/>
    <w:rsid w:val="009E587F"/>
    <w:rsid w:val="009E6C9F"/>
    <w:rsid w:val="00A12AC3"/>
    <w:rsid w:val="00A13265"/>
    <w:rsid w:val="00A24418"/>
    <w:rsid w:val="00A256DB"/>
    <w:rsid w:val="00A4509C"/>
    <w:rsid w:val="00A71136"/>
    <w:rsid w:val="00A828A7"/>
    <w:rsid w:val="00A85A92"/>
    <w:rsid w:val="00A85B3A"/>
    <w:rsid w:val="00AA474C"/>
    <w:rsid w:val="00AA77F0"/>
    <w:rsid w:val="00AB07B9"/>
    <w:rsid w:val="00AB2626"/>
    <w:rsid w:val="00AB64A1"/>
    <w:rsid w:val="00AC589A"/>
    <w:rsid w:val="00AD5D1F"/>
    <w:rsid w:val="00AD7E5F"/>
    <w:rsid w:val="00AF6983"/>
    <w:rsid w:val="00B01AA1"/>
    <w:rsid w:val="00B04D5C"/>
    <w:rsid w:val="00B076F8"/>
    <w:rsid w:val="00B30C81"/>
    <w:rsid w:val="00B36BB0"/>
    <w:rsid w:val="00B41256"/>
    <w:rsid w:val="00B4793B"/>
    <w:rsid w:val="00B508F0"/>
    <w:rsid w:val="00B67E3A"/>
    <w:rsid w:val="00B67ECF"/>
    <w:rsid w:val="00B75240"/>
    <w:rsid w:val="00B77106"/>
    <w:rsid w:val="00B84A47"/>
    <w:rsid w:val="00BA02F7"/>
    <w:rsid w:val="00BE3376"/>
    <w:rsid w:val="00BF0645"/>
    <w:rsid w:val="00BF6290"/>
    <w:rsid w:val="00C0111B"/>
    <w:rsid w:val="00C12A70"/>
    <w:rsid w:val="00C15633"/>
    <w:rsid w:val="00C15799"/>
    <w:rsid w:val="00C20C39"/>
    <w:rsid w:val="00C357AD"/>
    <w:rsid w:val="00C50B4F"/>
    <w:rsid w:val="00C6069C"/>
    <w:rsid w:val="00C70D89"/>
    <w:rsid w:val="00C8371F"/>
    <w:rsid w:val="00C85119"/>
    <w:rsid w:val="00C8753D"/>
    <w:rsid w:val="00C93A83"/>
    <w:rsid w:val="00C976A0"/>
    <w:rsid w:val="00CA497C"/>
    <w:rsid w:val="00CA7034"/>
    <w:rsid w:val="00CB56A4"/>
    <w:rsid w:val="00CD5431"/>
    <w:rsid w:val="00CE5930"/>
    <w:rsid w:val="00CF2491"/>
    <w:rsid w:val="00CF5EE6"/>
    <w:rsid w:val="00CF7FFB"/>
    <w:rsid w:val="00D053B4"/>
    <w:rsid w:val="00D1252E"/>
    <w:rsid w:val="00D209C2"/>
    <w:rsid w:val="00D4144D"/>
    <w:rsid w:val="00D4174A"/>
    <w:rsid w:val="00D42A5C"/>
    <w:rsid w:val="00D512D0"/>
    <w:rsid w:val="00D55CA6"/>
    <w:rsid w:val="00D57772"/>
    <w:rsid w:val="00D623C9"/>
    <w:rsid w:val="00D72AE3"/>
    <w:rsid w:val="00D75A4D"/>
    <w:rsid w:val="00D80553"/>
    <w:rsid w:val="00D8478B"/>
    <w:rsid w:val="00D86151"/>
    <w:rsid w:val="00D86ED8"/>
    <w:rsid w:val="00D954C5"/>
    <w:rsid w:val="00DA7595"/>
    <w:rsid w:val="00DB0A68"/>
    <w:rsid w:val="00DB36A9"/>
    <w:rsid w:val="00DB508C"/>
    <w:rsid w:val="00DB76E0"/>
    <w:rsid w:val="00DC43A3"/>
    <w:rsid w:val="00DC7988"/>
    <w:rsid w:val="00DD7C09"/>
    <w:rsid w:val="00DE38F6"/>
    <w:rsid w:val="00DE3EBA"/>
    <w:rsid w:val="00DE6023"/>
    <w:rsid w:val="00DE6857"/>
    <w:rsid w:val="00DF12FA"/>
    <w:rsid w:val="00DF590E"/>
    <w:rsid w:val="00E0124F"/>
    <w:rsid w:val="00E05525"/>
    <w:rsid w:val="00E15158"/>
    <w:rsid w:val="00E431D6"/>
    <w:rsid w:val="00E44A1D"/>
    <w:rsid w:val="00E57353"/>
    <w:rsid w:val="00E674D3"/>
    <w:rsid w:val="00E70FD0"/>
    <w:rsid w:val="00E74251"/>
    <w:rsid w:val="00E8588D"/>
    <w:rsid w:val="00E86FB3"/>
    <w:rsid w:val="00E910C4"/>
    <w:rsid w:val="00E95146"/>
    <w:rsid w:val="00EA7C92"/>
    <w:rsid w:val="00EB17A9"/>
    <w:rsid w:val="00EC38A0"/>
    <w:rsid w:val="00ED02ED"/>
    <w:rsid w:val="00ED112D"/>
    <w:rsid w:val="00ED7A85"/>
    <w:rsid w:val="00EF1268"/>
    <w:rsid w:val="00EF5877"/>
    <w:rsid w:val="00EF782C"/>
    <w:rsid w:val="00F01DE0"/>
    <w:rsid w:val="00F02C47"/>
    <w:rsid w:val="00F26696"/>
    <w:rsid w:val="00F346D2"/>
    <w:rsid w:val="00F50077"/>
    <w:rsid w:val="00F5050A"/>
    <w:rsid w:val="00F6482C"/>
    <w:rsid w:val="00F84067"/>
    <w:rsid w:val="00F87C5B"/>
    <w:rsid w:val="00F90BAB"/>
    <w:rsid w:val="00FA0DB5"/>
    <w:rsid w:val="00FB0B98"/>
    <w:rsid w:val="00FB3FC0"/>
    <w:rsid w:val="00FB57B1"/>
    <w:rsid w:val="00FC146E"/>
    <w:rsid w:val="00FD12F2"/>
    <w:rsid w:val="00FE01E1"/>
    <w:rsid w:val="00FE3DE5"/>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semiHidden/>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semiHidden/>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uiPriority w:val="99"/>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
    <w:name w:val="Unresolved Mention"/>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iPriority w:val="99"/>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uiPriority w:val="99"/>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
    <w:basedOn w:val="DefaultParagraphFont"/>
    <w:uiPriority w:val="99"/>
    <w:unhideWhenUsed/>
    <w:qFormat/>
    <w:rsid w:val="009075E7"/>
    <w:rPr>
      <w:vertAlign w:val="superscript"/>
    </w:rPr>
  </w:style>
  <w:style w:type="paragraph" w:styleId="ListBullet">
    <w:name w:val="List Bullet"/>
    <w:basedOn w:val="Normal"/>
    <w:qFormat/>
    <w:rsid w:val="009075E7"/>
    <w:pPr>
      <w:numPr>
        <w:numId w:val="28"/>
      </w:numPr>
      <w:spacing w:after="80"/>
    </w:pPr>
    <w:rPr>
      <w:rFonts w:ascii="Arial" w:eastAsia="Times New Roman" w:hAnsi="Arial"/>
      <w:sz w:val="20"/>
      <w:lang w:val="en-AU" w:eastAsia="en-AU"/>
    </w:rPr>
  </w:style>
  <w:style w:type="character" w:styleId="Strong">
    <w:name w:val="Strong"/>
    <w:basedOn w:val="DefaultParagraphFont"/>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193">
      <w:bodyDiv w:val="1"/>
      <w:marLeft w:val="0"/>
      <w:marRight w:val="0"/>
      <w:marTop w:val="0"/>
      <w:marBottom w:val="0"/>
      <w:divBdr>
        <w:top w:val="none" w:sz="0" w:space="0" w:color="auto"/>
        <w:left w:val="none" w:sz="0" w:space="0" w:color="auto"/>
        <w:bottom w:val="none" w:sz="0" w:space="0" w:color="auto"/>
        <w:right w:val="none" w:sz="0" w:space="0" w:color="auto"/>
      </w:divBdr>
    </w:div>
    <w:div w:id="10845068">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
    <w:div w:id="309091225">
      <w:bodyDiv w:val="1"/>
      <w:marLeft w:val="0"/>
      <w:marRight w:val="0"/>
      <w:marTop w:val="0"/>
      <w:marBottom w:val="0"/>
      <w:divBdr>
        <w:top w:val="none" w:sz="0" w:space="0" w:color="auto"/>
        <w:left w:val="none" w:sz="0" w:space="0" w:color="auto"/>
        <w:bottom w:val="none" w:sz="0" w:space="0" w:color="auto"/>
        <w:right w:val="none" w:sz="0" w:space="0" w:color="auto"/>
      </w:divBdr>
      <w:divsChild>
        <w:div w:id="261380907">
          <w:marLeft w:val="0"/>
          <w:marRight w:val="0"/>
          <w:marTop w:val="240"/>
          <w:marBottom w:val="240"/>
          <w:divBdr>
            <w:top w:val="none" w:sz="0" w:space="0" w:color="auto"/>
            <w:left w:val="none" w:sz="0" w:space="0" w:color="auto"/>
            <w:bottom w:val="none" w:sz="0" w:space="0" w:color="auto"/>
            <w:right w:val="none" w:sz="0" w:space="0" w:color="auto"/>
          </w:divBdr>
        </w:div>
      </w:divsChild>
    </w:div>
    <w:div w:id="446854989">
      <w:bodyDiv w:val="1"/>
      <w:marLeft w:val="0"/>
      <w:marRight w:val="0"/>
      <w:marTop w:val="0"/>
      <w:marBottom w:val="0"/>
      <w:divBdr>
        <w:top w:val="none" w:sz="0" w:space="0" w:color="auto"/>
        <w:left w:val="none" w:sz="0" w:space="0" w:color="auto"/>
        <w:bottom w:val="none" w:sz="0" w:space="0" w:color="auto"/>
        <w:right w:val="none" w:sz="0" w:space="0" w:color="auto"/>
      </w:divBdr>
    </w:div>
    <w:div w:id="587467075">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790364910">
      <w:bodyDiv w:val="1"/>
      <w:marLeft w:val="0"/>
      <w:marRight w:val="0"/>
      <w:marTop w:val="0"/>
      <w:marBottom w:val="0"/>
      <w:divBdr>
        <w:top w:val="none" w:sz="0" w:space="0" w:color="auto"/>
        <w:left w:val="none" w:sz="0" w:space="0" w:color="auto"/>
        <w:bottom w:val="none" w:sz="0" w:space="0" w:color="auto"/>
        <w:right w:val="none" w:sz="0" w:space="0" w:color="auto"/>
      </w:divBdr>
    </w:div>
    <w:div w:id="910391765">
      <w:bodyDiv w:val="1"/>
      <w:marLeft w:val="0"/>
      <w:marRight w:val="0"/>
      <w:marTop w:val="0"/>
      <w:marBottom w:val="0"/>
      <w:divBdr>
        <w:top w:val="none" w:sz="0" w:space="0" w:color="auto"/>
        <w:left w:val="none" w:sz="0" w:space="0" w:color="auto"/>
        <w:bottom w:val="none" w:sz="0" w:space="0" w:color="auto"/>
        <w:right w:val="none" w:sz="0" w:space="0" w:color="auto"/>
      </w:divBdr>
    </w:div>
    <w:div w:id="932979267">
      <w:bodyDiv w:val="1"/>
      <w:marLeft w:val="0"/>
      <w:marRight w:val="0"/>
      <w:marTop w:val="0"/>
      <w:marBottom w:val="0"/>
      <w:divBdr>
        <w:top w:val="none" w:sz="0" w:space="0" w:color="auto"/>
        <w:left w:val="none" w:sz="0" w:space="0" w:color="auto"/>
        <w:bottom w:val="none" w:sz="0" w:space="0" w:color="auto"/>
        <w:right w:val="none" w:sz="0" w:space="0" w:color="auto"/>
      </w:divBdr>
    </w:div>
    <w:div w:id="1083189200">
      <w:bodyDiv w:val="1"/>
      <w:marLeft w:val="0"/>
      <w:marRight w:val="0"/>
      <w:marTop w:val="0"/>
      <w:marBottom w:val="0"/>
      <w:divBdr>
        <w:top w:val="none" w:sz="0" w:space="0" w:color="auto"/>
        <w:left w:val="none" w:sz="0" w:space="0" w:color="auto"/>
        <w:bottom w:val="none" w:sz="0" w:space="0" w:color="auto"/>
        <w:right w:val="none" w:sz="0" w:space="0" w:color="auto"/>
      </w:divBdr>
    </w:div>
    <w:div w:id="1224021098">
      <w:bodyDiv w:val="1"/>
      <w:marLeft w:val="0"/>
      <w:marRight w:val="0"/>
      <w:marTop w:val="0"/>
      <w:marBottom w:val="0"/>
      <w:divBdr>
        <w:top w:val="none" w:sz="0" w:space="0" w:color="auto"/>
        <w:left w:val="none" w:sz="0" w:space="0" w:color="auto"/>
        <w:bottom w:val="none" w:sz="0" w:space="0" w:color="auto"/>
        <w:right w:val="none" w:sz="0" w:space="0" w:color="auto"/>
      </w:divBdr>
    </w:div>
    <w:div w:id="1625966902">
      <w:bodyDiv w:val="1"/>
      <w:marLeft w:val="0"/>
      <w:marRight w:val="0"/>
      <w:marTop w:val="0"/>
      <w:marBottom w:val="0"/>
      <w:divBdr>
        <w:top w:val="none" w:sz="0" w:space="0" w:color="auto"/>
        <w:left w:val="none" w:sz="0" w:space="0" w:color="auto"/>
        <w:bottom w:val="none" w:sz="0" w:space="0" w:color="auto"/>
        <w:right w:val="none" w:sz="0" w:space="0" w:color="auto"/>
      </w:divBdr>
    </w:div>
    <w:div w:id="1637100393">
      <w:bodyDiv w:val="1"/>
      <w:marLeft w:val="0"/>
      <w:marRight w:val="0"/>
      <w:marTop w:val="0"/>
      <w:marBottom w:val="0"/>
      <w:divBdr>
        <w:top w:val="none" w:sz="0" w:space="0" w:color="auto"/>
        <w:left w:val="none" w:sz="0" w:space="0" w:color="auto"/>
        <w:bottom w:val="none" w:sz="0" w:space="0" w:color="auto"/>
        <w:right w:val="none" w:sz="0" w:space="0" w:color="auto"/>
      </w:divBdr>
    </w:div>
    <w:div w:id="1990283243">
      <w:bodyDiv w:val="1"/>
      <w:marLeft w:val="0"/>
      <w:marRight w:val="0"/>
      <w:marTop w:val="0"/>
      <w:marBottom w:val="0"/>
      <w:divBdr>
        <w:top w:val="none" w:sz="0" w:space="0" w:color="auto"/>
        <w:left w:val="none" w:sz="0" w:space="0" w:color="auto"/>
        <w:bottom w:val="none" w:sz="0" w:space="0" w:color="auto"/>
        <w:right w:val="none" w:sz="0" w:space="0" w:color="auto"/>
      </w:divBdr>
    </w:div>
    <w:div w:id="2033721502">
      <w:bodyDiv w:val="1"/>
      <w:marLeft w:val="0"/>
      <w:marRight w:val="0"/>
      <w:marTop w:val="0"/>
      <w:marBottom w:val="0"/>
      <w:divBdr>
        <w:top w:val="none" w:sz="0" w:space="0" w:color="auto"/>
        <w:left w:val="none" w:sz="0" w:space="0" w:color="auto"/>
        <w:bottom w:val="none" w:sz="0" w:space="0" w:color="auto"/>
        <w:right w:val="none" w:sz="0" w:space="0" w:color="auto"/>
      </w:divBdr>
      <w:divsChild>
        <w:div w:id="775708368">
          <w:marLeft w:val="0"/>
          <w:marRight w:val="0"/>
          <w:marTop w:val="240"/>
          <w:marBottom w:val="240"/>
          <w:divBdr>
            <w:top w:val="none" w:sz="0" w:space="0" w:color="auto"/>
            <w:left w:val="none" w:sz="0" w:space="0" w:color="auto"/>
            <w:bottom w:val="none" w:sz="0" w:space="0" w:color="auto"/>
            <w:right w:val="none" w:sz="0" w:space="0" w:color="auto"/>
          </w:divBdr>
        </w:div>
      </w:divsChild>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9/07/APG19-5-INP-81-J-10_WP3_PACP_and_Viewsui1.41.679.1.29.1.3uj.docx" TargetMode="External"/><Relationship Id="rId18" Type="http://schemas.openxmlformats.org/officeDocument/2006/relationships/hyperlink" Target="https://www.apt.int/sites/default/files/2019/07/APG19-5_INF-18-CEPT.docx" TargetMode="External"/><Relationship Id="rId26" Type="http://schemas.openxmlformats.org/officeDocument/2006/relationships/hyperlink" Target="https://www.apt.int/sites/default/files/2019/07/APG19-5-INP-108-MLA_THA_WP3_AI_7_A-C_E_H-K_9.1.2_and_9.1.3.docx" TargetMode="External"/><Relationship Id="rId21" Type="http://schemas.openxmlformats.org/officeDocument/2006/relationships/hyperlink" Target="https://www.apt.int/sites/default/files/2019/07/APG19-5-INP-44-R1-AUS_Contribution_to_APG19-5_Chapter_3.docx"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apt.int/sites/default/files/2019/07/APG19-5-INP-67-CHN-WG3_PACP_1.4_1.5_1.6_7_9.1_ISSUE_9.1.2_9.1.3_9.1.9_rev3.doc" TargetMode="External"/><Relationship Id="rId17" Type="http://schemas.openxmlformats.org/officeDocument/2006/relationships/hyperlink" Target="https://www.apt.int/sites/default/files/2019/07/APG19-5-INP-129-WP3_kor.doc" TargetMode="External"/><Relationship Id="rId25" Type="http://schemas.openxmlformats.org/officeDocument/2006/relationships/hyperlink" Target="https://www.apt.int/sites/default/files/2019/07/APG19-5-INP-98-Mongolian_Final_Views_on_WRC-19_Agenda_Item_7_WP3.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pt.int/sites/default/files/2019/07/APG19-5-INP-119-WP3_AI_1.6_7_9.1.2_9.1.3_0.docx" TargetMode="External"/><Relationship Id="rId20" Type="http://schemas.openxmlformats.org/officeDocument/2006/relationships/hyperlink" Target="https://www.apt.int/sites/default/files/2019/07/APG19-5-INF-22-RCC.docx" TargetMode="External"/><Relationship Id="rId29" Type="http://schemas.openxmlformats.org/officeDocument/2006/relationships/hyperlink" Target="https://www.apt.int/sites/default/files/2019/07/APG19-5-INP-129-WP3_kor.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t.int/sites/default/files/2019/07/APG19-5-INP-51-INS_Views-WP3.docx" TargetMode="External"/><Relationship Id="rId24" Type="http://schemas.openxmlformats.org/officeDocument/2006/relationships/hyperlink" Target="https://www.apt.int/sites/default/files/2019/07/APG19-5-INP-81-J-10_WP3_PACP_and_Viewsui1.41.679.1.29.1.3uj.doc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pt.int/sites/default/files/2019/07/APG19-5-INP-108-MLA_THA_WP3_AI_7_A-C_E_H-K_9.1.2_and_9.1.3.docx" TargetMode="External"/><Relationship Id="rId23" Type="http://schemas.openxmlformats.org/officeDocument/2006/relationships/hyperlink" Target="https://www.apt.int/sites/default/files/2019/07/APG19-5-INP-67-CHN-WG3_PACP_1.4_1.5_1.6_7_9.1_ISSUE_9.1.2_9.1.3_9.1.9_rev3.doc" TargetMode="External"/><Relationship Id="rId28" Type="http://schemas.openxmlformats.org/officeDocument/2006/relationships/hyperlink" Target="https://www.apt.int/sites/default/files/2019/07/APG19-5-INP-119-WP3_AI_1.6_7_9.1.2_9.1.3_0.docx" TargetMode="External"/><Relationship Id="rId36" Type="http://schemas.openxmlformats.org/officeDocument/2006/relationships/fontTable" Target="fontTable.xml"/><Relationship Id="rId10" Type="http://schemas.openxmlformats.org/officeDocument/2006/relationships/hyperlink" Target="https://www.apt.int/sites/default/files/2019/07/APG19-5-INP-44-R1-AUS_Contribution_to_APG19-5_Chapter_3.docx" TargetMode="External"/><Relationship Id="rId19" Type="http://schemas.openxmlformats.org/officeDocument/2006/relationships/hyperlink" Target="https://www.apt.int/sites/default/files/2019/07/APG19-5_INF-19-ATU.docx" TargetMode="External"/><Relationship Id="rId31"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hyperlink" Target="https://www.itu.int/md/R15-CPM19.02-R-0001/en" TargetMode="External"/><Relationship Id="rId14" Type="http://schemas.openxmlformats.org/officeDocument/2006/relationships/hyperlink" Target="https://www.apt.int/sites/default/files/2019/07/APG19-5-INP-98-Mongolian_Final_Views_on_WRC-19_Agenda_Item_7_WP3.docx" TargetMode="External"/><Relationship Id="rId22" Type="http://schemas.openxmlformats.org/officeDocument/2006/relationships/hyperlink" Target="https://www.apt.int/sites/default/files/2019/07/APG19-5-INP-51-INS_Views-WP3.docx" TargetMode="External"/><Relationship Id="rId27" Type="http://schemas.openxmlformats.org/officeDocument/2006/relationships/hyperlink" Target="https://www.apt.int/sites/default/files/2019/07/APG19-5-INP-119-WP3_AI_1.6_7_9.1.2_9.1.3_0.docx" TargetMode="External"/><Relationship Id="rId30" Type="http://schemas.openxmlformats.org/officeDocument/2006/relationships/image" Target="media/image2.emf"/><Relationship Id="rId35" Type="http://schemas.openxmlformats.org/officeDocument/2006/relationships/footer" Target="footer3.xml"/><Relationship Id="rId8" Type="http://schemas.openxmlformats.org/officeDocument/2006/relationships/hyperlink" Target="https://www.itu.int/dms_ties/itu-r/md/15/wp4a/c/R15-WP4A-C-0826!N31!MSW-E.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2004-07-28T02:14:00Z</cp:lastPrinted>
  <dcterms:created xsi:type="dcterms:W3CDTF">2019-08-08T08:25:00Z</dcterms:created>
  <dcterms:modified xsi:type="dcterms:W3CDTF">2019-08-08T08:25:00Z</dcterms:modified>
</cp:coreProperties>
</file>