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8520B1" w:rsidRPr="00891D0B" w14:paraId="7FCF767C" w14:textId="77777777" w:rsidTr="00B639E8">
        <w:trPr>
          <w:cantSplit/>
          <w:trHeight w:val="288"/>
        </w:trPr>
        <w:tc>
          <w:tcPr>
            <w:tcW w:w="1399" w:type="dxa"/>
            <w:vMerge w:val="restart"/>
          </w:tcPr>
          <w:p w14:paraId="3581A012" w14:textId="77777777" w:rsidR="008520B1" w:rsidRPr="00891D0B" w:rsidRDefault="008520B1" w:rsidP="00B639E8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NZ" w:eastAsia="zh-CN"/>
              </w:rPr>
              <w:drawing>
                <wp:inline distT="0" distB="0" distL="0" distR="0" wp14:anchorId="2C917CB5" wp14:editId="646A04FE">
                  <wp:extent cx="762635" cy="716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logogreen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48E690A8" w14:textId="77777777" w:rsidR="008520B1" w:rsidRPr="00E86131" w:rsidRDefault="008520B1" w:rsidP="00B639E8">
            <w:r w:rsidRPr="00E86131">
              <w:t>ASIA-PACIFIC TELECOMMUNITY</w:t>
            </w:r>
          </w:p>
        </w:tc>
        <w:tc>
          <w:tcPr>
            <w:tcW w:w="2160" w:type="dxa"/>
          </w:tcPr>
          <w:p w14:paraId="504846C3" w14:textId="77777777" w:rsidR="008520B1" w:rsidRPr="00723BE9" w:rsidRDefault="008520B1" w:rsidP="00B639E8">
            <w:pPr>
              <w:rPr>
                <w:b/>
                <w:sz w:val="22"/>
                <w:szCs w:val="22"/>
              </w:rPr>
            </w:pPr>
            <w:r w:rsidRPr="00723BE9">
              <w:rPr>
                <w:b/>
              </w:rPr>
              <w:t>Document No:</w:t>
            </w:r>
          </w:p>
        </w:tc>
      </w:tr>
      <w:tr w:rsidR="008520B1" w:rsidRPr="00C15799" w14:paraId="6C4592F8" w14:textId="77777777" w:rsidTr="00B639E8">
        <w:trPr>
          <w:cantSplit/>
          <w:trHeight w:val="504"/>
        </w:trPr>
        <w:tc>
          <w:tcPr>
            <w:tcW w:w="1399" w:type="dxa"/>
            <w:vMerge/>
          </w:tcPr>
          <w:p w14:paraId="55017678" w14:textId="77777777" w:rsidR="008520B1" w:rsidRPr="00891D0B" w:rsidRDefault="008520B1" w:rsidP="00B639E8"/>
        </w:tc>
        <w:tc>
          <w:tcPr>
            <w:tcW w:w="5760" w:type="dxa"/>
          </w:tcPr>
          <w:p w14:paraId="342ACA83" w14:textId="77777777" w:rsidR="008520B1" w:rsidRDefault="008520B1" w:rsidP="00B639E8">
            <w:pPr>
              <w:spacing w:line="0" w:lineRule="atLeast"/>
              <w:rPr>
                <w:b/>
              </w:rPr>
            </w:pPr>
            <w:r>
              <w:rPr>
                <w:b/>
              </w:rPr>
              <w:t>The 5th Meeting of the APT Conference Preparatory</w:t>
            </w:r>
          </w:p>
          <w:p w14:paraId="68A7D329" w14:textId="77777777" w:rsidR="008520B1" w:rsidRPr="00891D0B" w:rsidRDefault="008520B1" w:rsidP="00B639E8">
            <w:pPr>
              <w:spacing w:line="0" w:lineRule="atLeast"/>
            </w:pPr>
            <w:r>
              <w:rPr>
                <w:b/>
              </w:rPr>
              <w:t>Group for WRC-19 (APG19-5)</w:t>
            </w:r>
          </w:p>
        </w:tc>
        <w:tc>
          <w:tcPr>
            <w:tcW w:w="2160" w:type="dxa"/>
          </w:tcPr>
          <w:p w14:paraId="095CC85B" w14:textId="2568DA18" w:rsidR="008520B1" w:rsidRPr="00335AA4" w:rsidRDefault="008520B1" w:rsidP="00B639E8">
            <w:pPr>
              <w:rPr>
                <w:rFonts w:eastAsia="MS Mincho"/>
                <w:b/>
                <w:bCs/>
                <w:lang w:val="fr-FR" w:eastAsia="ja-JP"/>
              </w:rPr>
            </w:pPr>
            <w:r w:rsidRPr="00C96104">
              <w:rPr>
                <w:b/>
                <w:bCs/>
                <w:lang w:val="fr-FR"/>
              </w:rPr>
              <w:t>AP</w:t>
            </w:r>
            <w:r>
              <w:rPr>
                <w:b/>
                <w:bCs/>
                <w:lang w:val="fr-FR"/>
              </w:rPr>
              <w:t>G19-5/OUT-</w:t>
            </w:r>
            <w:r>
              <w:rPr>
                <w:rFonts w:eastAsia="MS Mincho" w:hint="eastAsia"/>
                <w:b/>
                <w:bCs/>
                <w:lang w:val="fr-FR" w:eastAsia="ja-JP"/>
              </w:rPr>
              <w:t>22</w:t>
            </w:r>
          </w:p>
          <w:p w14:paraId="477EF338" w14:textId="77777777" w:rsidR="008520B1" w:rsidRDefault="008520B1" w:rsidP="00B639E8">
            <w:pPr>
              <w:spacing w:line="0" w:lineRule="atLeast"/>
              <w:rPr>
                <w:b/>
              </w:rPr>
            </w:pPr>
          </w:p>
        </w:tc>
      </w:tr>
      <w:tr w:rsidR="008520B1" w:rsidRPr="00891D0B" w14:paraId="433392BF" w14:textId="77777777" w:rsidTr="00B639E8">
        <w:trPr>
          <w:cantSplit/>
          <w:trHeight w:val="288"/>
        </w:trPr>
        <w:tc>
          <w:tcPr>
            <w:tcW w:w="1399" w:type="dxa"/>
            <w:vMerge/>
          </w:tcPr>
          <w:p w14:paraId="442415F3" w14:textId="77777777" w:rsidR="008520B1" w:rsidRPr="007E1FDD" w:rsidRDefault="008520B1" w:rsidP="00B639E8">
            <w:pPr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376AEDCF" w14:textId="77777777" w:rsidR="008520B1" w:rsidRPr="00712451" w:rsidRDefault="008520B1" w:rsidP="00B639E8">
            <w:pPr>
              <w:rPr>
                <w:b/>
              </w:rPr>
            </w:pPr>
            <w:r>
              <w:t>31 July – 6 August 2019</w:t>
            </w:r>
            <w:r w:rsidRPr="00891D0B">
              <w:t xml:space="preserve">, </w:t>
            </w:r>
            <w:r>
              <w:t>Tokyo, Japan</w:t>
            </w:r>
          </w:p>
        </w:tc>
        <w:tc>
          <w:tcPr>
            <w:tcW w:w="2160" w:type="dxa"/>
            <w:vAlign w:val="bottom"/>
          </w:tcPr>
          <w:p w14:paraId="1C31F292" w14:textId="77777777" w:rsidR="008520B1" w:rsidRDefault="008520B1" w:rsidP="00B639E8">
            <w:r>
              <w:rPr>
                <w:bCs/>
              </w:rPr>
              <w:t>5</w:t>
            </w:r>
            <w:r w:rsidRPr="007E1FDD">
              <w:rPr>
                <w:bCs/>
              </w:rPr>
              <w:t xml:space="preserve"> </w:t>
            </w:r>
            <w:r>
              <w:rPr>
                <w:bCs/>
              </w:rPr>
              <w:t xml:space="preserve">August </w:t>
            </w:r>
            <w:r w:rsidRPr="007E1FDD">
              <w:rPr>
                <w:bCs/>
              </w:rPr>
              <w:t>201</w:t>
            </w:r>
            <w:r>
              <w:rPr>
                <w:bCs/>
              </w:rPr>
              <w:t>9</w:t>
            </w:r>
          </w:p>
        </w:tc>
      </w:tr>
    </w:tbl>
    <w:p w14:paraId="2E0E673C" w14:textId="77777777" w:rsidR="00D13D9D" w:rsidRPr="00441526" w:rsidRDefault="00D13D9D" w:rsidP="00DA7595">
      <w:pPr>
        <w:rPr>
          <w:lang w:val="en-NZ" w:eastAsia="ko-KR"/>
        </w:rPr>
      </w:pPr>
    </w:p>
    <w:p w14:paraId="2E0E6743" w14:textId="77777777" w:rsidR="00930E64" w:rsidRPr="00441526" w:rsidRDefault="00930E64" w:rsidP="00930E64">
      <w:pPr>
        <w:jc w:val="center"/>
        <w:rPr>
          <w:lang w:val="en-NZ"/>
        </w:rPr>
      </w:pPr>
    </w:p>
    <w:p w14:paraId="2E0E6744" w14:textId="7F91B11A" w:rsidR="00B64A60" w:rsidRPr="00F22216" w:rsidRDefault="003404AF" w:rsidP="00F22216">
      <w:pPr>
        <w:jc w:val="center"/>
        <w:rPr>
          <w:lang w:val="en-NZ" w:eastAsia="ko-KR"/>
        </w:rPr>
      </w:pPr>
      <w:r>
        <w:rPr>
          <w:lang w:val="en-NZ" w:eastAsia="ko-KR"/>
        </w:rPr>
        <w:t>Working Party 3</w:t>
      </w:r>
    </w:p>
    <w:p w14:paraId="2E0E6745" w14:textId="77777777" w:rsidR="00B64A60" w:rsidRPr="00441526" w:rsidRDefault="00B64A60" w:rsidP="00F22216">
      <w:pPr>
        <w:rPr>
          <w:b/>
          <w:bCs/>
          <w:caps/>
          <w:lang w:val="en-NZ"/>
        </w:rPr>
      </w:pPr>
    </w:p>
    <w:p w14:paraId="539E6B10" w14:textId="79945CB0" w:rsidR="00F22216" w:rsidRDefault="00F22216" w:rsidP="00B64A60">
      <w:pPr>
        <w:jc w:val="center"/>
        <w:rPr>
          <w:b/>
          <w:bCs/>
          <w:caps/>
          <w:lang w:val="en-NZ"/>
        </w:rPr>
      </w:pPr>
      <w:r w:rsidRPr="00F22216">
        <w:rPr>
          <w:b/>
          <w:bCs/>
          <w:caps/>
          <w:lang w:val="en-NZ"/>
        </w:rPr>
        <w:t xml:space="preserve">APT View and Preliminary APT Common Proposal on </w:t>
      </w:r>
    </w:p>
    <w:p w14:paraId="2E0E6746" w14:textId="1876BC13" w:rsidR="00B64A60" w:rsidRPr="00441526" w:rsidRDefault="00F22216" w:rsidP="00B64A60">
      <w:pPr>
        <w:jc w:val="center"/>
        <w:rPr>
          <w:b/>
          <w:bCs/>
          <w:caps/>
          <w:lang w:val="en-NZ"/>
        </w:rPr>
      </w:pPr>
      <w:r w:rsidRPr="00F22216">
        <w:rPr>
          <w:b/>
          <w:bCs/>
          <w:caps/>
          <w:lang w:val="en-NZ"/>
        </w:rPr>
        <w:t xml:space="preserve">WRC-19 Agenda Item </w:t>
      </w:r>
      <w:r w:rsidR="004F67AF">
        <w:rPr>
          <w:b/>
          <w:bCs/>
          <w:caps/>
          <w:lang w:val="en-NZ"/>
        </w:rPr>
        <w:t>9.1 Issue 9.1.3</w:t>
      </w:r>
    </w:p>
    <w:p w14:paraId="2E0E6747" w14:textId="77777777" w:rsidR="00B64A60" w:rsidRPr="00441526" w:rsidRDefault="00B64A60" w:rsidP="00264566">
      <w:pPr>
        <w:spacing w:after="120"/>
        <w:rPr>
          <w:lang w:val="en-NZ"/>
        </w:rPr>
      </w:pPr>
    </w:p>
    <w:p w14:paraId="092ABA2D" w14:textId="77777777" w:rsidR="004F67AF" w:rsidRDefault="004F67AF" w:rsidP="004F67AF">
      <w:pPr>
        <w:spacing w:afterLines="50" w:after="120"/>
      </w:pPr>
      <w:r>
        <w:rPr>
          <w:b/>
        </w:rPr>
        <w:t xml:space="preserve">Agenda item 9.1 - Issue 9.1.3: </w:t>
      </w:r>
    </w:p>
    <w:p w14:paraId="2E0E674A" w14:textId="59B7F21D" w:rsidR="00B64A60" w:rsidRPr="004F67AF" w:rsidRDefault="004F67AF" w:rsidP="004F67AF">
      <w:pPr>
        <w:spacing w:after="100" w:afterAutospacing="1"/>
        <w:rPr>
          <w:rFonts w:eastAsia="Times New Roman"/>
          <w:b/>
          <w:i/>
          <w:lang w:val="en-GB" w:bidi="en-US"/>
        </w:rPr>
      </w:pPr>
      <w:proofErr w:type="gramStart"/>
      <w:r>
        <w:rPr>
          <w:rFonts w:eastAsia="Times New Roman"/>
          <w:i/>
          <w:lang w:val="en-GB" w:bidi="en-US"/>
        </w:rPr>
        <w:t>to</w:t>
      </w:r>
      <w:proofErr w:type="gramEnd"/>
      <w:r>
        <w:rPr>
          <w:rFonts w:eastAsia="Times New Roman"/>
          <w:i/>
          <w:lang w:val="en-GB" w:bidi="en-US"/>
        </w:rPr>
        <w:t xml:space="preserve"> study  technical and operational issues and regulatory provisions for new </w:t>
      </w:r>
      <w:bookmarkStart w:id="0" w:name="OLE_LINK31"/>
      <w:bookmarkStart w:id="1" w:name="OLE_LINK30"/>
      <w:r>
        <w:rPr>
          <w:rFonts w:eastAsia="Times New Roman"/>
          <w:i/>
          <w:lang w:val="en-GB" w:bidi="en-US"/>
        </w:rPr>
        <w:t>non-geostationary-satellite orbit systems</w:t>
      </w:r>
      <w:bookmarkEnd w:id="0"/>
      <w:bookmarkEnd w:id="1"/>
      <w:r>
        <w:rPr>
          <w:rFonts w:eastAsia="Times New Roman"/>
          <w:i/>
          <w:lang w:val="en-GB" w:bidi="en-US"/>
        </w:rPr>
        <w:t xml:space="preserve"> in the 3 700-4 200 MHz, 4 500-4 800 MHz, 5 925-6 425 MHz and 6 725-7 025 MHz frequency bands allocated to the fixed-satellite service,</w:t>
      </w:r>
      <w:r>
        <w:rPr>
          <w:i/>
          <w:lang w:val="en-GB" w:eastAsia="ko-KR"/>
        </w:rPr>
        <w:t xml:space="preserve"> </w:t>
      </w:r>
      <w:r>
        <w:rPr>
          <w:i/>
        </w:rPr>
        <w:t xml:space="preserve">in accordance with Resolution </w:t>
      </w:r>
      <w:r>
        <w:rPr>
          <w:b/>
          <w:i/>
        </w:rPr>
        <w:t>15</w:t>
      </w:r>
      <w:r>
        <w:rPr>
          <w:b/>
          <w:i/>
          <w:lang w:eastAsia="ko-KR"/>
        </w:rPr>
        <w:t>7</w:t>
      </w:r>
      <w:r>
        <w:rPr>
          <w:b/>
          <w:i/>
        </w:rPr>
        <w:t xml:space="preserve"> (WRC-15)</w:t>
      </w:r>
      <w:r>
        <w:rPr>
          <w:rFonts w:eastAsia="Times New Roman"/>
          <w:i/>
          <w:lang w:val="en-GB" w:bidi="en-US"/>
        </w:rPr>
        <w:t>.</w:t>
      </w:r>
    </w:p>
    <w:p w14:paraId="31254357" w14:textId="76F805A3" w:rsidR="00363E12" w:rsidRPr="00321418" w:rsidRDefault="00B64A60" w:rsidP="0032141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1. </w:t>
      </w:r>
      <w:r w:rsidRPr="00441526">
        <w:rPr>
          <w:b/>
          <w:lang w:val="en-NZ" w:eastAsia="ko-KR"/>
        </w:rPr>
        <w:tab/>
        <w:t>Background</w:t>
      </w:r>
    </w:p>
    <w:p w14:paraId="29AB174D" w14:textId="2FC03DF8" w:rsidR="00F11BCC" w:rsidRDefault="00F11BCC" w:rsidP="00363E12">
      <w:r w:rsidRPr="001D33F8">
        <w:t xml:space="preserve">WRC-19 agenda item 9.1, </w:t>
      </w:r>
      <w:r>
        <w:t>i</w:t>
      </w:r>
      <w:r w:rsidRPr="001D33F8">
        <w:t xml:space="preserve">ssue 9.1.3, in accordance with Resolution </w:t>
      </w:r>
      <w:r w:rsidRPr="001D33F8">
        <w:rPr>
          <w:b/>
        </w:rPr>
        <w:t>157 (WRC-15)</w:t>
      </w:r>
      <w:r w:rsidRPr="00373F53">
        <w:rPr>
          <w:bCs/>
        </w:rPr>
        <w:t>,</w:t>
      </w:r>
      <w:r w:rsidRPr="001D33F8">
        <w:t xml:space="preserve"> invites </w:t>
      </w:r>
      <w:r>
        <w:t>ITU-R</w:t>
      </w:r>
      <w:r w:rsidRPr="001D33F8">
        <w:t xml:space="preserve"> to study technical and operational issues and regulatory provisions </w:t>
      </w:r>
      <w:r>
        <w:t xml:space="preserve">for </w:t>
      </w:r>
      <w:r w:rsidRPr="001D33F8">
        <w:t xml:space="preserve">new circular-orbit </w:t>
      </w:r>
      <w:r w:rsidRPr="005B395A">
        <w:t>non-geostationary-satellite orbit</w:t>
      </w:r>
      <w:r>
        <w:t xml:space="preserve"> (</w:t>
      </w:r>
      <w:r w:rsidRPr="001D33F8">
        <w:t>non-GSO</w:t>
      </w:r>
      <w:r>
        <w:t>)</w:t>
      </w:r>
      <w:r w:rsidRPr="005B395A">
        <w:t xml:space="preserve"> systems </w:t>
      </w:r>
      <w:r w:rsidRPr="001D33F8">
        <w:t>in the 3 700-4 200 MHz, 4 500-4 800 MHz, 5 925-6 425 MHz, and 6 725-7 025 MHz</w:t>
      </w:r>
      <w:r>
        <w:t xml:space="preserve"> </w:t>
      </w:r>
      <w:r w:rsidRPr="001D33F8">
        <w:t xml:space="preserve">frequency bands allocated to the fixed-satellite service (FSS), while ensuring protection of </w:t>
      </w:r>
      <w:r>
        <w:t>existing services</w:t>
      </w:r>
      <w:r w:rsidRPr="001D33F8">
        <w:t>.</w:t>
      </w:r>
    </w:p>
    <w:p w14:paraId="23A9A03E" w14:textId="77777777" w:rsidR="00F11BCC" w:rsidRDefault="00F11BCC" w:rsidP="00363E12"/>
    <w:p w14:paraId="73B450AD" w14:textId="4981B15D" w:rsidR="008674F9" w:rsidRDefault="008674F9" w:rsidP="008674F9">
      <w:pPr>
        <w:spacing w:after="100" w:afterAutospacing="1"/>
        <w:rPr>
          <w:rFonts w:eastAsia="Times New Roman"/>
          <w:sz w:val="20"/>
          <w:szCs w:val="20"/>
          <w:lang w:val="en-AU"/>
        </w:rPr>
      </w:pPr>
      <w:r>
        <w:rPr>
          <w:rFonts w:eastAsia="Times New Roman"/>
          <w:szCs w:val="20"/>
          <w:lang w:val="en-AU"/>
        </w:rPr>
        <w:t>The CPM Report to WRC-19 indicates that studies undertaken by ITU-R</w:t>
      </w:r>
      <w:r>
        <w:rPr>
          <w:rFonts w:eastAsia="Times New Roman"/>
          <w:b/>
          <w:szCs w:val="20"/>
          <w:lang w:val="en-AU"/>
        </w:rPr>
        <w:t xml:space="preserve"> </w:t>
      </w:r>
      <w:r>
        <w:rPr>
          <w:rFonts w:eastAsia="Times New Roman"/>
          <w:szCs w:val="20"/>
          <w:lang w:val="en-AU"/>
        </w:rPr>
        <w:t xml:space="preserve">lead to a conclusion that there is no need to review the values of the existing limits presented in RR Article </w:t>
      </w:r>
      <w:r>
        <w:rPr>
          <w:rFonts w:eastAsia="Times New Roman"/>
          <w:b/>
          <w:bCs/>
          <w:szCs w:val="20"/>
          <w:lang w:val="en-AU"/>
        </w:rPr>
        <w:t>22</w:t>
      </w:r>
      <w:r>
        <w:rPr>
          <w:rFonts w:eastAsia="Times New Roman"/>
          <w:szCs w:val="20"/>
          <w:lang w:val="en-AU"/>
        </w:rPr>
        <w:t xml:space="preserve"> (</w:t>
      </w:r>
      <w:proofErr w:type="spellStart"/>
      <w:r>
        <w:rPr>
          <w:rFonts w:eastAsia="Times New Roman"/>
          <w:szCs w:val="20"/>
          <w:lang w:val="en-AU"/>
        </w:rPr>
        <w:t>epfd</w:t>
      </w:r>
      <w:proofErr w:type="spellEnd"/>
      <w:r>
        <w:rPr>
          <w:rFonts w:eastAsia="Times New Roman"/>
          <w:szCs w:val="20"/>
          <w:lang w:val="en-AU"/>
        </w:rPr>
        <w:t xml:space="preserve">) and RR Article </w:t>
      </w:r>
      <w:r>
        <w:rPr>
          <w:rFonts w:eastAsia="Times New Roman"/>
          <w:b/>
          <w:bCs/>
          <w:szCs w:val="20"/>
          <w:lang w:val="en-AU"/>
        </w:rPr>
        <w:t>21</w:t>
      </w:r>
      <w:r>
        <w:rPr>
          <w:rFonts w:eastAsia="Times New Roman"/>
          <w:szCs w:val="20"/>
          <w:lang w:val="en-AU"/>
        </w:rPr>
        <w:t xml:space="preserve"> (</w:t>
      </w:r>
      <w:proofErr w:type="spellStart"/>
      <w:r>
        <w:rPr>
          <w:rFonts w:eastAsia="Times New Roman"/>
          <w:szCs w:val="20"/>
          <w:lang w:val="en-AU"/>
        </w:rPr>
        <w:t>pfd</w:t>
      </w:r>
      <w:proofErr w:type="spellEnd"/>
      <w:r>
        <w:rPr>
          <w:rFonts w:eastAsia="Times New Roman"/>
          <w:szCs w:val="20"/>
          <w:lang w:val="en-AU"/>
        </w:rPr>
        <w:t>) for the 3 700</w:t>
      </w:r>
      <w:r>
        <w:rPr>
          <w:rFonts w:eastAsia="Times New Roman"/>
          <w:szCs w:val="20"/>
          <w:lang w:val="en-AU"/>
        </w:rPr>
        <w:noBreakHyphen/>
        <w:t xml:space="preserve">4 200 MHz, 4 500-4 800 MHz, 5 925-6 425 MHz and 6 725-7 025 MHz frequency bands. </w:t>
      </w:r>
    </w:p>
    <w:p w14:paraId="6787EB11" w14:textId="77777777" w:rsidR="008674F9" w:rsidRDefault="008674F9" w:rsidP="008674F9">
      <w:pPr>
        <w:suppressAutoHyphens/>
        <w:spacing w:after="100" w:afterAutospacing="1"/>
        <w:rPr>
          <w:rFonts w:eastAsiaTheme="minorEastAsia"/>
          <w:szCs w:val="20"/>
          <w:lang w:val="en-AU"/>
        </w:rPr>
      </w:pPr>
      <w:r>
        <w:rPr>
          <w:szCs w:val="20"/>
          <w:lang w:val="en-AU"/>
        </w:rPr>
        <w:t xml:space="preserve">One study indicates that circular orbit non-GSO FSS operations in the 6/4 GHz frequency band could result in large exceedances (up to 40 dB) of the GSO protection criteria and concludes that it would be very difficult to operate a non-GSO circular orbit system for the purposes of a global broadband network in the 6/4 GHz frequency bands. Therefore, there is no need to review the values of the existing limits presented in RR Article </w:t>
      </w:r>
      <w:r>
        <w:rPr>
          <w:b/>
          <w:bCs/>
          <w:szCs w:val="20"/>
          <w:lang w:val="en-AU"/>
        </w:rPr>
        <w:t>22</w:t>
      </w:r>
      <w:r>
        <w:rPr>
          <w:szCs w:val="20"/>
          <w:lang w:val="en-AU"/>
        </w:rPr>
        <w:t xml:space="preserve"> (</w:t>
      </w:r>
      <w:proofErr w:type="spellStart"/>
      <w:r>
        <w:rPr>
          <w:szCs w:val="20"/>
          <w:lang w:val="en-AU"/>
        </w:rPr>
        <w:t>epfd</w:t>
      </w:r>
      <w:proofErr w:type="spellEnd"/>
      <w:r>
        <w:rPr>
          <w:szCs w:val="20"/>
          <w:lang w:val="en-AU"/>
        </w:rPr>
        <w:t xml:space="preserve">) and RR Article </w:t>
      </w:r>
      <w:r>
        <w:rPr>
          <w:b/>
          <w:bCs/>
          <w:szCs w:val="20"/>
          <w:lang w:val="en-AU"/>
        </w:rPr>
        <w:t>21</w:t>
      </w:r>
      <w:r>
        <w:rPr>
          <w:szCs w:val="20"/>
          <w:lang w:val="en-AU"/>
        </w:rPr>
        <w:t xml:space="preserve"> (</w:t>
      </w:r>
      <w:proofErr w:type="spellStart"/>
      <w:r>
        <w:rPr>
          <w:szCs w:val="20"/>
          <w:lang w:val="en-AU"/>
        </w:rPr>
        <w:t>pfd</w:t>
      </w:r>
      <w:proofErr w:type="spellEnd"/>
      <w:r>
        <w:rPr>
          <w:szCs w:val="20"/>
          <w:lang w:val="en-AU"/>
        </w:rPr>
        <w:t>) for the 3 700</w:t>
      </w:r>
      <w:r>
        <w:rPr>
          <w:szCs w:val="20"/>
          <w:lang w:val="en-AU"/>
        </w:rPr>
        <w:noBreakHyphen/>
        <w:t>4 200 MHz, 4 500-4 800 MHz, 5 925-6 425 MHz, and 6 725-7 025 MHz frequency bands.</w:t>
      </w:r>
    </w:p>
    <w:p w14:paraId="60FC332F" w14:textId="6451CC81" w:rsidR="00926098" w:rsidRDefault="008674F9" w:rsidP="008674F9">
      <w:pPr>
        <w:rPr>
          <w:lang w:val="en-NZ"/>
        </w:rPr>
      </w:pPr>
      <w:r>
        <w:rPr>
          <w:szCs w:val="20"/>
          <w:lang w:val="en-AU"/>
        </w:rPr>
        <w:t>Another study suggested to establish a coordination procedure in the frequency bands 3 700-4 200 MHz and 5 925</w:t>
      </w:r>
      <w:r>
        <w:rPr>
          <w:szCs w:val="20"/>
          <w:lang w:val="en-AU"/>
        </w:rPr>
        <w:noBreakHyphen/>
        <w:t xml:space="preserve">6 425 MHz between non-GSO FSS systems under RR No. </w:t>
      </w:r>
      <w:r>
        <w:rPr>
          <w:b/>
          <w:bCs/>
          <w:szCs w:val="20"/>
          <w:lang w:val="en-AU"/>
        </w:rPr>
        <w:t>9.12</w:t>
      </w:r>
      <w:r>
        <w:rPr>
          <w:bCs/>
          <w:szCs w:val="20"/>
          <w:lang w:val="en-AU"/>
        </w:rPr>
        <w:t>. This study finds that there is no need</w:t>
      </w:r>
      <w:r>
        <w:rPr>
          <w:szCs w:val="20"/>
          <w:lang w:val="en-AU"/>
        </w:rPr>
        <w:t xml:space="preserve"> to review the values of the existing limits presented in RR Article </w:t>
      </w:r>
      <w:r>
        <w:rPr>
          <w:b/>
          <w:bCs/>
          <w:szCs w:val="20"/>
          <w:lang w:val="en-AU"/>
        </w:rPr>
        <w:t>22</w:t>
      </w:r>
      <w:r>
        <w:rPr>
          <w:szCs w:val="20"/>
          <w:lang w:val="en-AU"/>
        </w:rPr>
        <w:t xml:space="preserve"> (</w:t>
      </w:r>
      <w:proofErr w:type="spellStart"/>
      <w:r>
        <w:rPr>
          <w:szCs w:val="20"/>
          <w:lang w:val="en-AU"/>
        </w:rPr>
        <w:t>epfd</w:t>
      </w:r>
      <w:proofErr w:type="spellEnd"/>
      <w:r>
        <w:rPr>
          <w:szCs w:val="20"/>
          <w:lang w:val="en-AU"/>
        </w:rPr>
        <w:t xml:space="preserve">) and RR Article </w:t>
      </w:r>
      <w:r>
        <w:rPr>
          <w:b/>
          <w:bCs/>
          <w:szCs w:val="20"/>
          <w:lang w:val="en-AU"/>
        </w:rPr>
        <w:t>21</w:t>
      </w:r>
      <w:r>
        <w:rPr>
          <w:szCs w:val="20"/>
          <w:lang w:val="en-AU"/>
        </w:rPr>
        <w:t xml:space="preserve"> (</w:t>
      </w:r>
      <w:proofErr w:type="spellStart"/>
      <w:r>
        <w:rPr>
          <w:szCs w:val="20"/>
          <w:lang w:val="en-AU"/>
        </w:rPr>
        <w:t>pfd</w:t>
      </w:r>
      <w:proofErr w:type="spellEnd"/>
      <w:r>
        <w:rPr>
          <w:szCs w:val="20"/>
          <w:lang w:val="en-AU"/>
        </w:rPr>
        <w:t>) for the 3 700</w:t>
      </w:r>
      <w:r>
        <w:rPr>
          <w:szCs w:val="20"/>
          <w:lang w:val="en-AU"/>
        </w:rPr>
        <w:noBreakHyphen/>
        <w:t>4 200 MHz, 4 500-4 800 MHz, 5 925</w:t>
      </w:r>
      <w:r>
        <w:rPr>
          <w:szCs w:val="20"/>
          <w:lang w:val="en-AU"/>
        </w:rPr>
        <w:noBreakHyphen/>
        <w:t>6 425 MHz, and 6 725-7 025 MHz frequency bands.</w:t>
      </w:r>
    </w:p>
    <w:p w14:paraId="5897F6DC" w14:textId="77777777" w:rsidR="004F67AF" w:rsidRPr="009C3210" w:rsidRDefault="004F67AF" w:rsidP="00B64A60">
      <w:pPr>
        <w:jc w:val="both"/>
        <w:rPr>
          <w:lang w:val="en-NZ"/>
        </w:rPr>
      </w:pPr>
    </w:p>
    <w:p w14:paraId="2E0E6752" w14:textId="77777777" w:rsidR="00B64A60" w:rsidRPr="00441526" w:rsidRDefault="00B64A60" w:rsidP="00B64A60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2. </w:t>
      </w:r>
      <w:r w:rsidRPr="00441526">
        <w:rPr>
          <w:b/>
          <w:lang w:val="en-NZ" w:eastAsia="ko-KR"/>
        </w:rPr>
        <w:tab/>
        <w:t>Documents</w:t>
      </w:r>
    </w:p>
    <w:p w14:paraId="17D0F5E4" w14:textId="1D714A26" w:rsidR="009C3210" w:rsidRDefault="009C3210" w:rsidP="009C3210">
      <w:pPr>
        <w:pStyle w:val="ListParagraph"/>
        <w:numPr>
          <w:ilvl w:val="0"/>
          <w:numId w:val="25"/>
        </w:numPr>
        <w:spacing w:afterLines="50" w:after="120"/>
        <w:rPr>
          <w:lang w:val="en-NZ"/>
        </w:rPr>
      </w:pPr>
      <w:r w:rsidRPr="009C3210">
        <w:rPr>
          <w:lang w:val="en-NZ"/>
        </w:rPr>
        <w:t xml:space="preserve">Input Documents: </w:t>
      </w:r>
      <w:bookmarkStart w:id="2" w:name="OLE_LINK51"/>
      <w:bookmarkStart w:id="3" w:name="OLE_LINK11"/>
      <w:bookmarkStart w:id="4" w:name="OLE_LINK12"/>
      <w:r w:rsidR="008674F9">
        <w:rPr>
          <w:lang w:val="en-NZ"/>
        </w:rPr>
        <w:t>APG19-5/INP-26 (BGD), APG19-5/</w:t>
      </w:r>
      <w:bookmarkEnd w:id="2"/>
      <w:r w:rsidR="008674F9">
        <w:rPr>
          <w:lang w:val="en-NZ"/>
        </w:rPr>
        <w:t>INP-44</w:t>
      </w:r>
      <w:r w:rsidR="002B3179">
        <w:rPr>
          <w:lang w:val="en-NZ"/>
        </w:rPr>
        <w:t>R1</w:t>
      </w:r>
      <w:r w:rsidR="008674F9">
        <w:rPr>
          <w:lang w:val="en-NZ"/>
        </w:rPr>
        <w:t xml:space="preserve"> (AUS</w:t>
      </w:r>
      <w:r w:rsidR="008674F9" w:rsidRPr="008218C8">
        <w:rPr>
          <w:lang w:val="en-NZ"/>
        </w:rPr>
        <w:t>)</w:t>
      </w:r>
      <w:r w:rsidR="008674F9">
        <w:rPr>
          <w:lang w:val="en-NZ"/>
        </w:rPr>
        <w:t>, APG19-5/INP-51 (INS</w:t>
      </w:r>
      <w:r w:rsidR="008674F9" w:rsidRPr="008218C8">
        <w:rPr>
          <w:lang w:val="en-NZ"/>
        </w:rPr>
        <w:t>)</w:t>
      </w:r>
      <w:r w:rsidR="008674F9">
        <w:rPr>
          <w:lang w:val="en-NZ"/>
        </w:rPr>
        <w:t xml:space="preserve">, </w:t>
      </w:r>
      <w:bookmarkStart w:id="5" w:name="OLE_LINK7"/>
      <w:bookmarkStart w:id="6" w:name="OLE_LINK9"/>
      <w:r w:rsidR="008674F9">
        <w:rPr>
          <w:lang w:val="en-NZ"/>
        </w:rPr>
        <w:t>APG19-5/INP-67 (CHN</w:t>
      </w:r>
      <w:r w:rsidR="008674F9" w:rsidRPr="008218C8">
        <w:rPr>
          <w:lang w:val="en-NZ"/>
        </w:rPr>
        <w:t>)</w:t>
      </w:r>
      <w:bookmarkEnd w:id="5"/>
      <w:bookmarkEnd w:id="6"/>
      <w:r w:rsidR="008674F9">
        <w:rPr>
          <w:lang w:val="en-NZ"/>
        </w:rPr>
        <w:t>, APG19-5/INP-81 (J), APG19-5/INP-108 (MLA, THA), APG19-</w:t>
      </w:r>
      <w:r w:rsidR="00294990">
        <w:rPr>
          <w:lang w:val="en-NZ"/>
        </w:rPr>
        <w:t>5</w:t>
      </w:r>
      <w:r w:rsidR="008674F9">
        <w:rPr>
          <w:lang w:val="en-NZ"/>
        </w:rPr>
        <w:t>/INP-119 (VTN)</w:t>
      </w:r>
      <w:bookmarkEnd w:id="3"/>
      <w:bookmarkEnd w:id="4"/>
      <w:r w:rsidR="008674F9">
        <w:rPr>
          <w:lang w:val="en-NZ"/>
        </w:rPr>
        <w:t>, APG19-</w:t>
      </w:r>
      <w:r w:rsidR="00294990">
        <w:rPr>
          <w:lang w:val="en-NZ"/>
        </w:rPr>
        <w:t>5</w:t>
      </w:r>
      <w:r w:rsidR="008674F9">
        <w:rPr>
          <w:lang w:val="en-NZ"/>
        </w:rPr>
        <w:t>/INP-129 (KOR)</w:t>
      </w:r>
    </w:p>
    <w:p w14:paraId="0AF8F221" w14:textId="4829F268" w:rsidR="00B56099" w:rsidRPr="009C3210" w:rsidRDefault="009C3210" w:rsidP="009C3210">
      <w:pPr>
        <w:pStyle w:val="ListParagraph"/>
        <w:numPr>
          <w:ilvl w:val="0"/>
          <w:numId w:val="25"/>
        </w:numPr>
        <w:spacing w:afterLines="50" w:after="120"/>
        <w:rPr>
          <w:lang w:val="en-NZ"/>
        </w:rPr>
      </w:pPr>
      <w:r w:rsidRPr="009C3210">
        <w:rPr>
          <w:lang w:val="en-NZ"/>
        </w:rPr>
        <w:lastRenderedPageBreak/>
        <w:t xml:space="preserve">Information Documents: </w:t>
      </w:r>
      <w:bookmarkStart w:id="7" w:name="OLE_LINK8"/>
      <w:bookmarkStart w:id="8" w:name="OLE_LINK13"/>
      <w:bookmarkStart w:id="9" w:name="OLE_LINK14"/>
      <w:bookmarkStart w:id="10" w:name="OLE_LINK15"/>
      <w:r w:rsidR="008674F9">
        <w:rPr>
          <w:lang w:val="en-NZ"/>
        </w:rPr>
        <w:t>APG19-5/INF-18 (CEPT)</w:t>
      </w:r>
      <w:bookmarkEnd w:id="7"/>
      <w:r w:rsidR="008674F9">
        <w:rPr>
          <w:lang w:val="en-NZ"/>
        </w:rPr>
        <w:t xml:space="preserve"> </w:t>
      </w:r>
      <w:bookmarkEnd w:id="8"/>
      <w:bookmarkEnd w:id="9"/>
      <w:bookmarkEnd w:id="10"/>
      <w:r w:rsidR="008674F9">
        <w:rPr>
          <w:lang w:val="en-NZ"/>
        </w:rPr>
        <w:t>, APG19-5/INF-19 (ATU), APG19-5/INF-20 (CITEL), APG19-5/INF-22 (RCC)</w:t>
      </w:r>
    </w:p>
    <w:p w14:paraId="2E0E6757" w14:textId="450E4384" w:rsidR="00B64A60" w:rsidRPr="00441526" w:rsidRDefault="00B64A60" w:rsidP="0032141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3. </w:t>
      </w:r>
      <w:r w:rsidRPr="00441526">
        <w:rPr>
          <w:b/>
          <w:lang w:val="en-NZ" w:eastAsia="ko-KR"/>
        </w:rPr>
        <w:tab/>
        <w:t xml:space="preserve">Summary of </w:t>
      </w:r>
      <w:r w:rsidR="00DF0EB4" w:rsidRPr="00441526">
        <w:rPr>
          <w:b/>
          <w:lang w:val="en-NZ" w:eastAsia="ko-KR"/>
        </w:rPr>
        <w:t>d</w:t>
      </w:r>
      <w:r w:rsidRPr="00441526">
        <w:rPr>
          <w:b/>
          <w:lang w:val="en-NZ" w:eastAsia="ko-KR"/>
        </w:rPr>
        <w:t>iscussions</w:t>
      </w:r>
    </w:p>
    <w:p w14:paraId="30F0C444" w14:textId="5B4E0B84" w:rsidR="00197C18" w:rsidRDefault="004A2F96" w:rsidP="00321418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</w:t>
      </w:r>
      <w:r w:rsidRPr="00441526">
        <w:rPr>
          <w:b/>
          <w:lang w:val="en-NZ" w:eastAsia="ko-KR"/>
        </w:rPr>
        <w:tab/>
        <w:t>S</w:t>
      </w:r>
      <w:r w:rsidRPr="00441526">
        <w:rPr>
          <w:rFonts w:hint="eastAsia"/>
          <w:b/>
          <w:lang w:val="en-NZ" w:eastAsia="ko-KR"/>
        </w:rPr>
        <w:t xml:space="preserve">ummary </w:t>
      </w:r>
      <w:r w:rsidRPr="00441526">
        <w:rPr>
          <w:b/>
          <w:lang w:val="en-NZ" w:eastAsia="ko-KR"/>
        </w:rPr>
        <w:t xml:space="preserve">of </w:t>
      </w:r>
      <w:r w:rsidR="00393DCD" w:rsidRPr="00441526">
        <w:rPr>
          <w:b/>
          <w:lang w:val="en-NZ" w:eastAsia="ko-KR"/>
        </w:rPr>
        <w:t xml:space="preserve">APT </w:t>
      </w:r>
      <w:r w:rsidRPr="00441526">
        <w:rPr>
          <w:b/>
          <w:lang w:val="en-NZ" w:eastAsia="ko-KR"/>
        </w:rPr>
        <w:t>Members’ view</w:t>
      </w:r>
      <w:r w:rsidR="00BC69DB" w:rsidRPr="00441526">
        <w:rPr>
          <w:b/>
          <w:lang w:val="en-NZ" w:eastAsia="ko-KR"/>
        </w:rPr>
        <w:t>s</w:t>
      </w:r>
    </w:p>
    <w:p w14:paraId="744FE4E4" w14:textId="14ABDE2A" w:rsidR="008674F9" w:rsidRDefault="008674F9" w:rsidP="0032141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3.1.1</w:t>
      </w:r>
      <w:r>
        <w:rPr>
          <w:b/>
          <w:lang w:val="en-NZ" w:eastAsia="ko-KR"/>
        </w:rPr>
        <w:tab/>
      </w:r>
      <w:r w:rsidRPr="008674F9">
        <w:rPr>
          <w:b/>
          <w:lang w:val="en-NZ" w:eastAsia="ko-KR"/>
        </w:rPr>
        <w:t>Bangladesh (People’s Republic of)</w:t>
      </w:r>
      <w:r>
        <w:rPr>
          <w:b/>
          <w:lang w:val="en-NZ" w:eastAsia="ko-KR"/>
        </w:rPr>
        <w:t>-</w:t>
      </w:r>
      <w:r w:rsidRPr="008674F9">
        <w:rPr>
          <w:b/>
          <w:lang w:val="en-NZ" w:eastAsia="ko-KR"/>
        </w:rPr>
        <w:t>APG19-5/INP-26</w:t>
      </w:r>
    </w:p>
    <w:p w14:paraId="4498FC35" w14:textId="1284F32D" w:rsidR="008674F9" w:rsidRPr="006C2D39" w:rsidRDefault="00BE184E" w:rsidP="00BE184E">
      <w:pPr>
        <w:spacing w:afterLines="50" w:after="120" w:line="276" w:lineRule="auto"/>
        <w:jc w:val="both"/>
      </w:pPr>
      <w:r>
        <w:rPr>
          <w:lang w:val="en-NZ"/>
        </w:rPr>
        <w:t xml:space="preserve">The </w:t>
      </w:r>
      <w:r w:rsidR="008674F9">
        <w:rPr>
          <w:lang w:val="en-AU"/>
        </w:rPr>
        <w:t>CPM</w:t>
      </w:r>
      <w:r w:rsidR="008674F9" w:rsidRPr="00094867">
        <w:rPr>
          <w:lang w:val="en-AU"/>
        </w:rPr>
        <w:t xml:space="preserve"> Report </w:t>
      </w:r>
      <w:r w:rsidR="008674F9">
        <w:rPr>
          <w:lang w:val="en-AU"/>
        </w:rPr>
        <w:t xml:space="preserve">to WRC-19 indicates </w:t>
      </w:r>
      <w:r w:rsidR="008674F9">
        <w:t xml:space="preserve">that it </w:t>
      </w:r>
      <w:r w:rsidR="008674F9" w:rsidRPr="006C2D39">
        <w:t xml:space="preserve">would be very difficult to operate a non-GSO circular orbit system for the purposes of a global broadband network in the 6/4 GHz frequency bands. Therefore, there is no need to review the values of the existing limits presented in RR Article </w:t>
      </w:r>
      <w:r w:rsidR="008674F9" w:rsidRPr="006C2D39">
        <w:rPr>
          <w:b/>
          <w:bCs/>
        </w:rPr>
        <w:t xml:space="preserve">22 </w:t>
      </w:r>
      <w:r w:rsidR="008674F9" w:rsidRPr="006C2D39">
        <w:t>(</w:t>
      </w:r>
      <w:proofErr w:type="spellStart"/>
      <w:r w:rsidR="008674F9" w:rsidRPr="006C2D39">
        <w:t>epfd</w:t>
      </w:r>
      <w:proofErr w:type="spellEnd"/>
      <w:r w:rsidR="008674F9" w:rsidRPr="006C2D39">
        <w:t xml:space="preserve">) and RR Article </w:t>
      </w:r>
      <w:r w:rsidR="008674F9" w:rsidRPr="006C2D39">
        <w:rPr>
          <w:b/>
          <w:bCs/>
        </w:rPr>
        <w:t xml:space="preserve">21 </w:t>
      </w:r>
      <w:r w:rsidR="008674F9" w:rsidRPr="006C2D39">
        <w:t>(</w:t>
      </w:r>
      <w:proofErr w:type="spellStart"/>
      <w:r w:rsidR="008674F9" w:rsidRPr="006C2D39">
        <w:t>pfd</w:t>
      </w:r>
      <w:proofErr w:type="spellEnd"/>
      <w:r w:rsidR="008674F9" w:rsidRPr="006C2D39">
        <w:t>) for the 3 700-4 200 MHz, 4 500-4 800 MHz, 5 925-6 425 MHz, and 6 725-7 025 MHz frequency bands.</w:t>
      </w:r>
    </w:p>
    <w:p w14:paraId="634222DD" w14:textId="20769E38" w:rsidR="008674F9" w:rsidRPr="00321418" w:rsidRDefault="008674F9" w:rsidP="00321418">
      <w:pPr>
        <w:spacing w:after="120"/>
        <w:jc w:val="both"/>
        <w:rPr>
          <w:b/>
          <w:lang w:val="en-NZ" w:eastAsia="ko-KR"/>
        </w:rPr>
      </w:pPr>
      <w:r>
        <w:rPr>
          <w:lang w:val="en-AU"/>
        </w:rPr>
        <w:t xml:space="preserve">It can be noted that 3300 – 4200 MHz band is the potential spectrum for the future generation mobile communications, and some countries already have assigned a portion of this band for 5G mobile networks. </w:t>
      </w:r>
      <w:r>
        <w:t>Among the frequency bands mentioned in this agenda item, 3700 – 4200 MHz spectrum is included in the potential band for 5G</w:t>
      </w:r>
      <w:r>
        <w:rPr>
          <w:lang w:val="en-NZ"/>
        </w:rPr>
        <w:t xml:space="preserve">. Bangladesh would like to assign this band for mobile broadband networks. Therefore, Bangladesh is seeking protection from the possible interference of satellite services available in this band.  Bangladesh </w:t>
      </w:r>
      <w:r w:rsidRPr="00094867">
        <w:rPr>
          <w:lang w:val="en-AU"/>
        </w:rPr>
        <w:t xml:space="preserve">is therefore of the view that No Change to the Radio Regulations is an appropriate </w:t>
      </w:r>
      <w:r>
        <w:rPr>
          <w:lang w:val="en-AU"/>
        </w:rPr>
        <w:t>proposal</w:t>
      </w:r>
      <w:r w:rsidRPr="00094867">
        <w:rPr>
          <w:lang w:val="en-AU"/>
        </w:rPr>
        <w:t xml:space="preserve"> to WRC-19 on agenda item 9.1, issue 9.1.3.</w:t>
      </w:r>
    </w:p>
    <w:p w14:paraId="7E63EDDC" w14:textId="6D40971F" w:rsidR="009C3210" w:rsidRPr="00441526" w:rsidRDefault="00B56099" w:rsidP="009C3210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>3.1.</w:t>
      </w:r>
      <w:r w:rsidR="008674F9">
        <w:rPr>
          <w:b/>
          <w:lang w:val="en-NZ" w:eastAsia="ko-KR"/>
        </w:rPr>
        <w:t>2</w:t>
      </w:r>
      <w:r w:rsidRPr="00441526">
        <w:rPr>
          <w:b/>
          <w:lang w:val="en-NZ" w:eastAsia="ko-KR"/>
        </w:rPr>
        <w:t xml:space="preserve"> </w:t>
      </w:r>
      <w:r w:rsidRPr="00441526">
        <w:rPr>
          <w:b/>
          <w:lang w:val="en-NZ" w:eastAsia="ko-KR"/>
        </w:rPr>
        <w:tab/>
      </w:r>
      <w:r w:rsidR="009C3210" w:rsidRPr="00926098">
        <w:rPr>
          <w:b/>
          <w:lang w:val="en-NZ" w:eastAsia="ko-KR"/>
        </w:rPr>
        <w:t>Australia</w:t>
      </w:r>
      <w:r w:rsidR="009C3210" w:rsidRPr="00441526">
        <w:t xml:space="preserve">- </w:t>
      </w:r>
      <w:r w:rsidR="009C3210">
        <w:rPr>
          <w:b/>
          <w:lang w:val="en-NZ" w:eastAsia="ko-KR"/>
        </w:rPr>
        <w:t xml:space="preserve">Document </w:t>
      </w:r>
      <w:r w:rsidR="008674F9">
        <w:rPr>
          <w:b/>
          <w:lang w:val="en-NZ" w:eastAsia="ko-KR"/>
        </w:rPr>
        <w:t>APG19-5/INP-44</w:t>
      </w:r>
      <w:r w:rsidR="002B3179">
        <w:rPr>
          <w:b/>
          <w:lang w:val="en-NZ" w:eastAsia="ko-KR"/>
        </w:rPr>
        <w:t xml:space="preserve"> Rev.1</w:t>
      </w:r>
    </w:p>
    <w:p w14:paraId="578D95FB" w14:textId="20F90619" w:rsidR="009825DE" w:rsidRDefault="00C70C98" w:rsidP="009825DE">
      <w:pPr>
        <w:spacing w:afterLines="50" w:after="120"/>
        <w:rPr>
          <w:lang w:val="en-AU"/>
        </w:rPr>
      </w:pPr>
      <w:bookmarkStart w:id="11" w:name="_Hlk526754801"/>
      <w:r w:rsidRPr="0097416A">
        <w:t>Australia supports no change to the Radio Regulations at WRC-19, as per the conclusions provided in the CPM Report, that there is no need to review the values of the existing limits presented in RR Article 22 (</w:t>
      </w:r>
      <w:proofErr w:type="spellStart"/>
      <w:r w:rsidRPr="0097416A">
        <w:t>epfd</w:t>
      </w:r>
      <w:proofErr w:type="spellEnd"/>
      <w:r w:rsidRPr="0097416A">
        <w:t>) and RR Article 21 (</w:t>
      </w:r>
      <w:proofErr w:type="spellStart"/>
      <w:r w:rsidRPr="0097416A">
        <w:t>pfd</w:t>
      </w:r>
      <w:proofErr w:type="spellEnd"/>
      <w:r w:rsidRPr="0097416A">
        <w:t>) f</w:t>
      </w:r>
      <w:r>
        <w:t>or the 3 700 4 200 MHz, 4 500-4 </w:t>
      </w:r>
      <w:r w:rsidRPr="0097416A">
        <w:t xml:space="preserve">800 MHz, 5 925-6 425 MHz and </w:t>
      </w:r>
      <w:r>
        <w:t>6 725-7 025 MHz frequency bands</w:t>
      </w:r>
      <w:r w:rsidR="009825DE" w:rsidRPr="00094867">
        <w:rPr>
          <w:lang w:val="en-AU"/>
        </w:rPr>
        <w:t>.</w:t>
      </w:r>
    </w:p>
    <w:bookmarkEnd w:id="11"/>
    <w:p w14:paraId="6B8B2097" w14:textId="10A03FEC" w:rsidR="009825DE" w:rsidRPr="00C70C98" w:rsidRDefault="00C70C98" w:rsidP="009825DE">
      <w:pPr>
        <w:spacing w:afterLines="50" w:after="120"/>
      </w:pPr>
      <w:r>
        <w:t>Australia supports a Preliminary APT Common Proposal for NOC for this agenda item:</w:t>
      </w:r>
    </w:p>
    <w:bookmarkStart w:id="12" w:name="_MON_1624275695"/>
    <w:bookmarkEnd w:id="12"/>
    <w:p w14:paraId="3D6A1883" w14:textId="7B09042C" w:rsidR="00926098" w:rsidRDefault="00C70C98" w:rsidP="009825DE">
      <w:pPr>
        <w:spacing w:afterLines="50" w:after="120"/>
      </w:pPr>
      <w:r>
        <w:object w:dxaOrig="1508" w:dyaOrig="983" w14:anchorId="7743B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.75pt" o:ole="">
            <v:imagedata r:id="rId10" o:title=""/>
          </v:shape>
          <o:OLEObject Type="Embed" ProgID="Word.Document.12" ShapeID="_x0000_i1025" DrawAspect="Icon" ObjectID="_1627351404" r:id="rId11">
            <o:FieldCodes>\s</o:FieldCodes>
          </o:OLEObject>
        </w:object>
      </w:r>
    </w:p>
    <w:p w14:paraId="37999588" w14:textId="2ECEF1FB" w:rsidR="00C70C98" w:rsidRPr="00441526" w:rsidRDefault="00C70C98" w:rsidP="00C70C98">
      <w:pPr>
        <w:spacing w:after="120"/>
        <w:jc w:val="both"/>
        <w:rPr>
          <w:b/>
          <w:lang w:val="en-NZ" w:eastAsia="ko-KR"/>
        </w:rPr>
      </w:pPr>
      <w:bookmarkStart w:id="13" w:name="OLE_LINK36"/>
      <w:bookmarkStart w:id="14" w:name="OLE_LINK37"/>
      <w:r>
        <w:rPr>
          <w:b/>
          <w:lang w:val="en-NZ" w:eastAsia="ko-KR"/>
        </w:rPr>
        <w:t>3.1.3</w:t>
      </w:r>
      <w:r w:rsidRPr="00441526">
        <w:rPr>
          <w:b/>
          <w:lang w:val="en-NZ" w:eastAsia="ko-KR"/>
        </w:rPr>
        <w:tab/>
      </w:r>
      <w:r w:rsidRPr="009D3066">
        <w:rPr>
          <w:b/>
          <w:lang w:val="en-NZ" w:eastAsia="ko-KR"/>
        </w:rPr>
        <w:t>Indonesia (Republic of)</w:t>
      </w:r>
      <w:r w:rsidRPr="00926098">
        <w:rPr>
          <w:b/>
          <w:lang w:val="en-NZ" w:eastAsia="ko-KR"/>
        </w:rPr>
        <w:t xml:space="preserve"> </w:t>
      </w:r>
      <w:r w:rsidRPr="00441526">
        <w:t xml:space="preserve">- </w:t>
      </w:r>
      <w:r>
        <w:rPr>
          <w:b/>
          <w:lang w:val="en-NZ" w:eastAsia="ko-KR"/>
        </w:rPr>
        <w:t>Document APG19-5/INP-51</w:t>
      </w:r>
    </w:p>
    <w:bookmarkEnd w:id="13"/>
    <w:bookmarkEnd w:id="14"/>
    <w:p w14:paraId="1A0A5E6C" w14:textId="1171C677" w:rsidR="00C70C98" w:rsidRDefault="00C70C98" w:rsidP="00C70C98">
      <w:pPr>
        <w:spacing w:afterLines="50" w:after="120"/>
        <w:jc w:val="both"/>
        <w:rPr>
          <w:rFonts w:eastAsiaTheme="minorHAnsi"/>
        </w:rPr>
      </w:pPr>
      <w:r>
        <w:t xml:space="preserve">Indonesia </w:t>
      </w:r>
      <w:r w:rsidRPr="001D3540">
        <w:rPr>
          <w:lang w:val="en-NZ"/>
        </w:rPr>
        <w:t>support</w:t>
      </w:r>
      <w:r w:rsidR="00BE184E">
        <w:rPr>
          <w:lang w:val="en-NZ"/>
        </w:rPr>
        <w:t>s</w:t>
      </w:r>
      <w:r w:rsidRPr="001D3540">
        <w:rPr>
          <w:lang w:val="en-NZ"/>
        </w:rPr>
        <w:t xml:space="preserve"> no change (NOC) to the Radio Regulations to satisfy agenda item 9.1, issue 9.1.3 based on study progress of </w:t>
      </w:r>
      <w:r w:rsidRPr="001D3540">
        <w:rPr>
          <w:lang w:val="id-ID"/>
        </w:rPr>
        <w:t xml:space="preserve">ITU-R for new non-GSO systems in the 3 700-4 200 MHz, 4 500-4 800 MHz, 5 925-6 425 MHz and 6 725-7 025 MHz frequency bands under the terms of Resolution </w:t>
      </w:r>
      <w:r w:rsidRPr="001D3540">
        <w:rPr>
          <w:b/>
          <w:bCs/>
          <w:lang w:val="id-ID"/>
        </w:rPr>
        <w:t>157 (WRC-15)</w:t>
      </w:r>
      <w:r>
        <w:rPr>
          <w:bCs/>
        </w:rPr>
        <w:t>.</w:t>
      </w:r>
      <w:r w:rsidRPr="009D3066">
        <w:rPr>
          <w:rFonts w:eastAsiaTheme="minorHAnsi"/>
        </w:rPr>
        <w:t xml:space="preserve"> </w:t>
      </w:r>
    </w:p>
    <w:p w14:paraId="1DD25FE5" w14:textId="706F2E2A" w:rsidR="00C70C98" w:rsidRPr="00441526" w:rsidRDefault="00C70C98" w:rsidP="00C70C98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3.1.4</w:t>
      </w:r>
      <w:r w:rsidRPr="00441526">
        <w:rPr>
          <w:b/>
          <w:lang w:val="en-NZ" w:eastAsia="ko-KR"/>
        </w:rPr>
        <w:tab/>
      </w:r>
      <w:r w:rsidRPr="009D3066">
        <w:rPr>
          <w:b/>
          <w:lang w:val="en-NZ" w:eastAsia="ko-KR"/>
        </w:rPr>
        <w:t>China (People’s Republic of)</w:t>
      </w:r>
      <w:r>
        <w:rPr>
          <w:b/>
          <w:lang w:val="en-NZ" w:eastAsia="ko-KR"/>
        </w:rPr>
        <w:t xml:space="preserve"> </w:t>
      </w:r>
      <w:r w:rsidRPr="00441526">
        <w:t xml:space="preserve">- </w:t>
      </w:r>
      <w:r>
        <w:rPr>
          <w:b/>
          <w:lang w:val="en-NZ" w:eastAsia="ko-KR"/>
        </w:rPr>
        <w:t>Document APG19-5/INP-67</w:t>
      </w:r>
    </w:p>
    <w:p w14:paraId="744B032E" w14:textId="77777777" w:rsidR="00C70C98" w:rsidRDefault="00C70C98" w:rsidP="00C70C98">
      <w:pPr>
        <w:spacing w:afterLines="50" w:after="120"/>
        <w:jc w:val="both"/>
        <w:rPr>
          <w:color w:val="FF0000"/>
        </w:rPr>
      </w:pPr>
      <w:r>
        <w:rPr>
          <w:rFonts w:eastAsia="SimSun"/>
          <w:lang w:eastAsia="zh-CN"/>
        </w:rPr>
        <w:t>China supports no change (NOC) to the Radio Regulations to satisfy agenda item 9.1, issue 9.1.3 based on study result of ITU-R for new non-GSO systems in the 3 700-4 200 MHz, 4 500-4 800 MHz, 5 925-6 425 MHz a</w:t>
      </w:r>
      <w:r>
        <w:rPr>
          <w:lang w:val="id-ID"/>
        </w:rPr>
        <w:t xml:space="preserve">nd 6 725-7 025 MHz frequency bands under the terms of Resolution </w:t>
      </w:r>
      <w:r>
        <w:rPr>
          <w:b/>
          <w:bCs/>
          <w:lang w:val="id-ID"/>
        </w:rPr>
        <w:t>157 (WRC-15)</w:t>
      </w:r>
      <w:r>
        <w:rPr>
          <w:rStyle w:val="ECCParagraph"/>
        </w:rPr>
        <w:t>.</w:t>
      </w:r>
      <w:r>
        <w:rPr>
          <w:color w:val="FF0000"/>
        </w:rPr>
        <w:t xml:space="preserve">  </w:t>
      </w:r>
    </w:p>
    <w:p w14:paraId="1E19D7B5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6074F413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01C45506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63FE6BAB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32756A92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5D863FA6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0244B0A1" w14:textId="77777777" w:rsidR="00F22216" w:rsidRDefault="00F22216" w:rsidP="00C70C98">
      <w:pPr>
        <w:jc w:val="both"/>
        <w:rPr>
          <w:rFonts w:eastAsia="TimesNewRoman"/>
          <w:b/>
          <w:u w:val="single"/>
          <w:lang w:eastAsia="zh-CN"/>
        </w:rPr>
      </w:pPr>
    </w:p>
    <w:p w14:paraId="19755B4C" w14:textId="77777777" w:rsidR="00C70C98" w:rsidRDefault="00C70C98" w:rsidP="00C70C98">
      <w:pPr>
        <w:spacing w:afterLines="50" w:after="120"/>
        <w:jc w:val="both"/>
        <w:rPr>
          <w:color w:val="FF0000"/>
        </w:rPr>
      </w:pPr>
    </w:p>
    <w:p w14:paraId="463C3DB0" w14:textId="77777777" w:rsidR="00C70C98" w:rsidRPr="009F7908" w:rsidRDefault="00C70C98" w:rsidP="00C70C98">
      <w:pPr>
        <w:pStyle w:val="Proposal"/>
        <w:rPr>
          <w:u w:val="single"/>
        </w:rPr>
      </w:pPr>
      <w:r w:rsidRPr="009F7908">
        <w:rPr>
          <w:u w:val="single"/>
        </w:rPr>
        <w:t>NOC</w:t>
      </w:r>
    </w:p>
    <w:p w14:paraId="101762EE" w14:textId="77777777" w:rsidR="00C70C98" w:rsidRPr="00EC49C3" w:rsidRDefault="00C70C98" w:rsidP="00C70C98">
      <w:pPr>
        <w:spacing w:afterLines="50" w:after="120"/>
        <w:jc w:val="center"/>
        <w:rPr>
          <w:rFonts w:eastAsia="SimSun"/>
          <w:lang w:eastAsia="zh-CN"/>
        </w:rPr>
      </w:pPr>
      <w:r w:rsidRPr="00EC49C3">
        <w:rPr>
          <w:rFonts w:eastAsia="SimSun"/>
          <w:lang w:eastAsia="zh-CN"/>
        </w:rPr>
        <w:t>ARTICLE 21</w:t>
      </w:r>
    </w:p>
    <w:p w14:paraId="6C3AFDB4" w14:textId="77777777" w:rsidR="00C70C98" w:rsidRPr="00EC49C3" w:rsidRDefault="00C70C98" w:rsidP="00C70C98">
      <w:pPr>
        <w:spacing w:afterLines="50" w:after="120"/>
        <w:jc w:val="both"/>
        <w:rPr>
          <w:rFonts w:eastAsia="SimSun"/>
          <w:lang w:eastAsia="zh-CN"/>
        </w:rPr>
      </w:pPr>
    </w:p>
    <w:p w14:paraId="2E23D9E7" w14:textId="77777777" w:rsidR="00C70C98" w:rsidRPr="00EC49C3" w:rsidRDefault="00C70C98" w:rsidP="00C70C98">
      <w:pPr>
        <w:spacing w:afterLines="50" w:after="120"/>
        <w:jc w:val="center"/>
        <w:rPr>
          <w:rFonts w:eastAsia="SimSun"/>
          <w:b/>
          <w:lang w:eastAsia="zh-CN"/>
        </w:rPr>
      </w:pPr>
      <w:r w:rsidRPr="00EC49C3">
        <w:rPr>
          <w:rFonts w:eastAsia="SimSun"/>
          <w:b/>
          <w:lang w:eastAsia="zh-CN"/>
        </w:rPr>
        <w:t>Terrestrial and space services sharing frequency bands above 1 GHz</w:t>
      </w:r>
    </w:p>
    <w:p w14:paraId="306B41F8" w14:textId="77777777" w:rsidR="00C70C98" w:rsidRPr="009F7908" w:rsidRDefault="00C70C98" w:rsidP="00C70C98">
      <w:pPr>
        <w:pStyle w:val="Proposal"/>
        <w:rPr>
          <w:u w:val="single"/>
        </w:rPr>
      </w:pPr>
      <w:r w:rsidRPr="009F7908">
        <w:rPr>
          <w:u w:val="single"/>
        </w:rPr>
        <w:t>NOC</w:t>
      </w:r>
    </w:p>
    <w:p w14:paraId="1DCE92C6" w14:textId="77777777" w:rsidR="00C70C98" w:rsidRPr="00EC49C3" w:rsidRDefault="00C70C98" w:rsidP="00C70C98">
      <w:pPr>
        <w:spacing w:afterLines="50" w:after="120"/>
        <w:jc w:val="center"/>
        <w:rPr>
          <w:rFonts w:eastAsia="SimSun"/>
          <w:lang w:eastAsia="zh-CN"/>
        </w:rPr>
      </w:pPr>
      <w:r w:rsidRPr="00EC49C3">
        <w:rPr>
          <w:rFonts w:eastAsia="SimSun"/>
          <w:lang w:eastAsia="zh-CN"/>
        </w:rPr>
        <w:t>ARTICLE 22</w:t>
      </w:r>
    </w:p>
    <w:p w14:paraId="18E17AF1" w14:textId="77777777" w:rsidR="00C70C98" w:rsidRPr="00EC49C3" w:rsidRDefault="00C70C98" w:rsidP="00C70C98">
      <w:pPr>
        <w:spacing w:afterLines="50" w:after="120"/>
        <w:jc w:val="both"/>
        <w:rPr>
          <w:rFonts w:eastAsia="SimSun"/>
          <w:lang w:eastAsia="zh-CN"/>
        </w:rPr>
      </w:pPr>
      <w:r w:rsidRPr="00EC49C3">
        <w:rPr>
          <w:rFonts w:eastAsia="SimSun"/>
          <w:lang w:eastAsia="zh-CN"/>
        </w:rPr>
        <w:t xml:space="preserve"> </w:t>
      </w:r>
    </w:p>
    <w:p w14:paraId="1D362E31" w14:textId="77777777" w:rsidR="00C70C98" w:rsidRPr="00EC49C3" w:rsidRDefault="00C70C98" w:rsidP="00C70C98">
      <w:pPr>
        <w:spacing w:afterLines="50" w:after="120"/>
        <w:jc w:val="center"/>
        <w:rPr>
          <w:rFonts w:eastAsia="SimSun"/>
          <w:b/>
          <w:lang w:eastAsia="zh-CN"/>
        </w:rPr>
      </w:pPr>
      <w:r w:rsidRPr="00EC49C3">
        <w:rPr>
          <w:rFonts w:eastAsia="SimSun"/>
          <w:b/>
          <w:lang w:eastAsia="zh-CN"/>
        </w:rPr>
        <w:t>Space services</w:t>
      </w:r>
    </w:p>
    <w:p w14:paraId="4296E1F2" w14:textId="77777777" w:rsidR="00C70C98" w:rsidRPr="00B22A7D" w:rsidRDefault="00C70C98" w:rsidP="00C70C98">
      <w:pPr>
        <w:pStyle w:val="Proposal"/>
      </w:pPr>
      <w:r>
        <w:t>SUP</w:t>
      </w:r>
      <w:r w:rsidRPr="00B22A7D">
        <w:t xml:space="preserve"> </w:t>
      </w:r>
    </w:p>
    <w:p w14:paraId="3166DA14" w14:textId="77777777" w:rsidR="00C70C98" w:rsidRPr="00EC49C3" w:rsidRDefault="00C70C98" w:rsidP="00C70C98">
      <w:pPr>
        <w:spacing w:afterLines="50" w:after="120"/>
        <w:jc w:val="both"/>
        <w:rPr>
          <w:rFonts w:eastAsia="SimSun"/>
          <w:lang w:eastAsia="zh-CN"/>
        </w:rPr>
      </w:pPr>
      <w:r w:rsidRPr="00EC49C3">
        <w:rPr>
          <w:rFonts w:eastAsia="SimSun"/>
          <w:lang w:eastAsia="zh-CN"/>
        </w:rPr>
        <w:t xml:space="preserve"> </w:t>
      </w:r>
    </w:p>
    <w:p w14:paraId="51C910F3" w14:textId="77777777" w:rsidR="00C70C98" w:rsidRPr="00B22A7D" w:rsidRDefault="00C70C98" w:rsidP="00C70C98">
      <w:pPr>
        <w:spacing w:afterLines="50" w:after="120"/>
        <w:jc w:val="center"/>
        <w:rPr>
          <w:rFonts w:eastAsia="SimSun"/>
          <w:b/>
          <w:lang w:eastAsia="zh-CN"/>
        </w:rPr>
      </w:pPr>
      <w:r w:rsidRPr="00B22A7D">
        <w:rPr>
          <w:rFonts w:eastAsia="SimSun"/>
          <w:b/>
          <w:lang w:eastAsia="zh-CN"/>
        </w:rPr>
        <w:t>RESOLUTION 157 (WRC-15)</w:t>
      </w:r>
    </w:p>
    <w:p w14:paraId="299C1265" w14:textId="77777777" w:rsidR="00C70C98" w:rsidRPr="00B22A7D" w:rsidRDefault="00C70C98" w:rsidP="00C70C98">
      <w:pPr>
        <w:spacing w:afterLines="50" w:after="120"/>
        <w:jc w:val="center"/>
        <w:rPr>
          <w:rFonts w:eastAsia="SimSun"/>
          <w:b/>
          <w:lang w:eastAsia="zh-CN"/>
        </w:rPr>
      </w:pPr>
      <w:r w:rsidRPr="00B22A7D">
        <w:rPr>
          <w:rFonts w:eastAsia="SimSun"/>
          <w:b/>
          <w:lang w:eastAsia="zh-CN"/>
        </w:rPr>
        <w:t>Study of technical and operational issues and regulatory provisions for new non-geostationary-satellite orbit systems in the 3 700-4 200 MHz, 4 500-4 800 MHz, 5 925-6 425 MHz and 6 725-7 025 MHz frequency bands allocated to the fixed-satellite service</w:t>
      </w:r>
    </w:p>
    <w:p w14:paraId="637A778B" w14:textId="77777777" w:rsidR="00C70C98" w:rsidRPr="00EC49C3" w:rsidRDefault="00C70C98" w:rsidP="00C70C98">
      <w:pPr>
        <w:spacing w:afterLines="50" w:after="120"/>
        <w:jc w:val="both"/>
        <w:rPr>
          <w:rFonts w:eastAsia="SimSun"/>
          <w:lang w:eastAsia="zh-CN"/>
        </w:rPr>
      </w:pPr>
      <w:r w:rsidRPr="00EC49C3">
        <w:rPr>
          <w:rFonts w:eastAsia="SimSun"/>
          <w:lang w:eastAsia="zh-CN"/>
        </w:rPr>
        <w:t xml:space="preserve"> </w:t>
      </w:r>
    </w:p>
    <w:p w14:paraId="325EE518" w14:textId="6C48FAF1" w:rsidR="00C70C98" w:rsidRPr="00C70C98" w:rsidRDefault="00C70C98" w:rsidP="00C70C98">
      <w:pPr>
        <w:spacing w:afterLines="50" w:after="120"/>
        <w:jc w:val="both"/>
        <w:rPr>
          <w:rFonts w:eastAsiaTheme="minorHAnsi"/>
          <w:lang w:val="en-GB"/>
        </w:rPr>
      </w:pPr>
      <w:r w:rsidRPr="00B22A7D">
        <w:rPr>
          <w:rFonts w:eastAsia="SimSun"/>
          <w:b/>
          <w:lang w:eastAsia="zh-CN"/>
        </w:rPr>
        <w:t xml:space="preserve">Reasons: </w:t>
      </w:r>
      <w:r w:rsidRPr="00EC49C3">
        <w:rPr>
          <w:rFonts w:eastAsia="SimSun"/>
          <w:lang w:eastAsia="zh-CN"/>
        </w:rPr>
        <w:t xml:space="preserve"> ITU-R studies show that it would be very difficult to operate a non-GSO circular-orbit system for the purposes of a global broadband network in the 6/4 GHz frequency bands. Therefore, C</w:t>
      </w:r>
      <w:r>
        <w:rPr>
          <w:rFonts w:eastAsia="SimSun"/>
          <w:lang w:eastAsia="zh-CN"/>
        </w:rPr>
        <w:t>hina</w:t>
      </w:r>
      <w:r w:rsidRPr="00EC49C3">
        <w:rPr>
          <w:rFonts w:eastAsia="SimSun"/>
          <w:lang w:eastAsia="zh-CN"/>
        </w:rPr>
        <w:t xml:space="preserve"> support</w:t>
      </w:r>
      <w:r>
        <w:rPr>
          <w:rFonts w:eastAsia="SimSun"/>
          <w:lang w:eastAsia="zh-CN"/>
        </w:rPr>
        <w:t>s</w:t>
      </w:r>
      <w:r w:rsidRPr="00EC49C3">
        <w:rPr>
          <w:rFonts w:eastAsia="SimSun"/>
          <w:lang w:eastAsia="zh-CN"/>
        </w:rPr>
        <w:t xml:space="preserve"> no revision to Article 21, Table 21-4 for non-GSO FSS satellites in the frequency band 3700-4200 MHz (space-to-Earth) and no modifications to Article 22 </w:t>
      </w:r>
      <w:proofErr w:type="spellStart"/>
      <w:r w:rsidRPr="00EC49C3">
        <w:rPr>
          <w:rFonts w:eastAsia="SimSun"/>
          <w:lang w:eastAsia="zh-CN"/>
        </w:rPr>
        <w:t>epfd</w:t>
      </w:r>
      <w:proofErr w:type="spellEnd"/>
      <w:r w:rsidRPr="00EC49C3">
        <w:rPr>
          <w:rFonts w:eastAsia="SimSun"/>
          <w:lang w:eastAsia="zh-CN"/>
        </w:rPr>
        <w:t xml:space="preserve"> limits applicable to non</w:t>
      </w:r>
      <w:r>
        <w:rPr>
          <w:rFonts w:eastAsia="SimSun"/>
          <w:lang w:eastAsia="zh-CN"/>
        </w:rPr>
        <w:t>-</w:t>
      </w:r>
      <w:r w:rsidRPr="00EC49C3">
        <w:rPr>
          <w:rFonts w:eastAsia="SimSun"/>
          <w:lang w:eastAsia="zh-CN"/>
        </w:rPr>
        <w:t xml:space="preserve">GSO systems in the bands 3700-4200 MHz (space-to-Earth) and 5925-6425 MHz (Earth-to-Space).  Similarly, </w:t>
      </w:r>
      <w:r>
        <w:rPr>
          <w:rFonts w:eastAsia="SimSun"/>
          <w:lang w:eastAsia="zh-CN"/>
        </w:rPr>
        <w:t>China</w:t>
      </w:r>
      <w:r w:rsidRPr="00EC49C3">
        <w:rPr>
          <w:rFonts w:eastAsia="SimSun"/>
          <w:lang w:eastAsia="zh-CN"/>
        </w:rPr>
        <w:t xml:space="preserve"> propose</w:t>
      </w:r>
      <w:r>
        <w:rPr>
          <w:rFonts w:eastAsia="SimSun"/>
          <w:lang w:eastAsia="zh-CN"/>
        </w:rPr>
        <w:t>s</w:t>
      </w:r>
      <w:r w:rsidRPr="00EC49C3">
        <w:rPr>
          <w:rFonts w:eastAsia="SimSun"/>
          <w:lang w:eastAsia="zh-CN"/>
        </w:rPr>
        <w:t xml:space="preserve"> no change to the bands 4500-</w:t>
      </w:r>
      <w:bookmarkStart w:id="15" w:name="_GoBack"/>
      <w:bookmarkEnd w:id="15"/>
      <w:r w:rsidRPr="00EC49C3">
        <w:rPr>
          <w:rFonts w:eastAsia="SimSun"/>
          <w:lang w:eastAsia="zh-CN"/>
        </w:rPr>
        <w:t>4800 MHz (space-to-Earth) and 6725-7025 MHz (Earth-to-space).</w:t>
      </w:r>
    </w:p>
    <w:p w14:paraId="40E2ED50" w14:textId="5CD3381C" w:rsidR="00C70C98" w:rsidRPr="00441526" w:rsidRDefault="00C70C98" w:rsidP="00C70C98">
      <w:pPr>
        <w:spacing w:after="120"/>
        <w:jc w:val="both"/>
        <w:rPr>
          <w:b/>
          <w:lang w:val="en-NZ" w:eastAsia="ko-KR"/>
        </w:rPr>
      </w:pPr>
      <w:bookmarkStart w:id="16" w:name="OLE_LINK23"/>
      <w:r>
        <w:rPr>
          <w:b/>
          <w:lang w:val="en-NZ" w:eastAsia="ko-KR"/>
        </w:rPr>
        <w:t>3.1.5</w:t>
      </w:r>
      <w:r w:rsidRPr="00441526">
        <w:rPr>
          <w:b/>
          <w:lang w:val="en-NZ" w:eastAsia="ko-KR"/>
        </w:rPr>
        <w:tab/>
      </w:r>
      <w:bookmarkStart w:id="17" w:name="OLE_LINK21"/>
      <w:bookmarkStart w:id="18" w:name="OLE_LINK22"/>
      <w:bookmarkStart w:id="19" w:name="OLE_LINK24"/>
      <w:bookmarkStart w:id="20" w:name="OLE_LINK25"/>
      <w:r>
        <w:rPr>
          <w:b/>
          <w:lang w:val="en-NZ" w:eastAsia="ko-KR"/>
        </w:rPr>
        <w:t>J</w:t>
      </w:r>
      <w:r>
        <w:rPr>
          <w:rFonts w:eastAsiaTheme="minorEastAsia" w:hint="eastAsia"/>
          <w:b/>
          <w:lang w:val="en-NZ" w:eastAsia="zh-CN"/>
        </w:rPr>
        <w:t>apan</w:t>
      </w:r>
      <w:r w:rsidRPr="00441526">
        <w:t xml:space="preserve">- </w:t>
      </w:r>
      <w:r>
        <w:rPr>
          <w:b/>
          <w:lang w:val="en-NZ" w:eastAsia="ko-KR"/>
        </w:rPr>
        <w:t>Document APG19-5/INP-81</w:t>
      </w:r>
    </w:p>
    <w:bookmarkEnd w:id="16"/>
    <w:bookmarkEnd w:id="17"/>
    <w:bookmarkEnd w:id="18"/>
    <w:bookmarkEnd w:id="19"/>
    <w:bookmarkEnd w:id="20"/>
    <w:p w14:paraId="5CB6DB4B" w14:textId="5FEA50CB" w:rsidR="00C70C98" w:rsidRPr="00C70C98" w:rsidRDefault="00C70C98" w:rsidP="00766ABC">
      <w:pPr>
        <w:spacing w:afterLines="50" w:after="120"/>
        <w:rPr>
          <w:rFonts w:eastAsia="MS Mincho"/>
          <w:lang w:val="en-GB" w:eastAsia="ja-JP"/>
        </w:rPr>
      </w:pPr>
      <w:r>
        <w:rPr>
          <w:rFonts w:eastAsiaTheme="minorEastAsia"/>
          <w:lang w:eastAsia="ja-JP"/>
        </w:rPr>
        <w:t xml:space="preserve">Japan supports ITU-R studies that showed difficulties in </w:t>
      </w:r>
      <w:r w:rsidRPr="00430B37">
        <w:rPr>
          <w:rFonts w:eastAsiaTheme="minorEastAsia"/>
          <w:lang w:eastAsia="ja-JP"/>
        </w:rPr>
        <w:t xml:space="preserve">coexistence </w:t>
      </w:r>
      <w:r>
        <w:rPr>
          <w:rFonts w:eastAsiaTheme="minorEastAsia"/>
          <w:lang w:eastAsia="ja-JP"/>
        </w:rPr>
        <w:t xml:space="preserve">between NGSO FSS and GSO FSS in the frequency bands </w:t>
      </w:r>
      <w:r w:rsidRPr="00BF48D5">
        <w:rPr>
          <w:rFonts w:eastAsiaTheme="minorEastAsia"/>
          <w:lang w:val="en-GB" w:eastAsia="ja-JP"/>
        </w:rPr>
        <w:t xml:space="preserve">3 700-4 200 MHz, 4 500-4 800 MHz, 5 925-6 425 MHz and 6 725-7 025 </w:t>
      </w:r>
      <w:proofErr w:type="spellStart"/>
      <w:r w:rsidRPr="00BF48D5">
        <w:rPr>
          <w:rFonts w:eastAsiaTheme="minorEastAsia"/>
          <w:lang w:val="en-GB" w:eastAsia="ja-JP"/>
        </w:rPr>
        <w:t>MHz</w:t>
      </w:r>
      <w:r>
        <w:rPr>
          <w:rFonts w:eastAsiaTheme="minorEastAsia"/>
          <w:lang w:val="en-GB" w:eastAsia="ja-JP"/>
        </w:rPr>
        <w:t>.</w:t>
      </w:r>
      <w:proofErr w:type="spellEnd"/>
      <w:r>
        <w:rPr>
          <w:rFonts w:eastAsiaTheme="minorEastAsia"/>
          <w:lang w:val="en-GB" w:eastAsia="ja-JP"/>
        </w:rPr>
        <w:t xml:space="preserve"> Therefore, Japan supports no change to the </w:t>
      </w:r>
      <w:r w:rsidRPr="007270E9">
        <w:rPr>
          <w:rFonts w:eastAsiaTheme="minorEastAsia"/>
          <w:lang w:val="en-GB" w:eastAsia="ja-JP"/>
        </w:rPr>
        <w:t>R</w:t>
      </w:r>
      <w:r>
        <w:rPr>
          <w:rFonts w:eastAsiaTheme="minorEastAsia" w:hint="eastAsia"/>
          <w:lang w:val="en-GB" w:eastAsia="ja-JP"/>
        </w:rPr>
        <w:t>R</w:t>
      </w:r>
      <w:r>
        <w:rPr>
          <w:rFonts w:eastAsiaTheme="minorEastAsia"/>
          <w:lang w:val="en-GB" w:eastAsia="ja-JP"/>
        </w:rPr>
        <w:t>.</w:t>
      </w:r>
    </w:p>
    <w:p w14:paraId="68AAA50C" w14:textId="734A266B" w:rsidR="00321418" w:rsidRDefault="00C70C98" w:rsidP="00F11BCC">
      <w:pPr>
        <w:spacing w:afterLines="50"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3.1.6</w:t>
      </w:r>
      <w:r w:rsidR="00926098">
        <w:rPr>
          <w:b/>
          <w:lang w:val="en-NZ" w:eastAsia="ko-KR"/>
        </w:rPr>
        <w:t xml:space="preserve"> </w:t>
      </w:r>
      <w:r w:rsidR="00926098">
        <w:rPr>
          <w:b/>
          <w:lang w:val="en-NZ" w:eastAsia="ko-KR"/>
        </w:rPr>
        <w:tab/>
      </w:r>
      <w:bookmarkStart w:id="21" w:name="OLE_LINK1"/>
      <w:bookmarkStart w:id="22" w:name="OLE_LINK2"/>
      <w:r w:rsidR="00766ABC">
        <w:rPr>
          <w:b/>
          <w:lang w:val="en-NZ" w:eastAsia="ko-KR"/>
        </w:rPr>
        <w:t xml:space="preserve">Malaysia and </w:t>
      </w:r>
      <w:r w:rsidR="009825DE" w:rsidRPr="00601F41">
        <w:rPr>
          <w:rFonts w:eastAsiaTheme="minorEastAsia"/>
          <w:b/>
          <w:lang w:val="en-NZ" w:eastAsia="zh-CN"/>
        </w:rPr>
        <w:t xml:space="preserve">Thailand </w:t>
      </w:r>
      <w:bookmarkEnd w:id="21"/>
      <w:bookmarkEnd w:id="22"/>
      <w:r w:rsidR="00D416A3" w:rsidRPr="00441526">
        <w:t xml:space="preserve">- </w:t>
      </w:r>
      <w:r w:rsidR="00766ABC">
        <w:rPr>
          <w:b/>
          <w:lang w:val="en-NZ" w:eastAsia="ko-KR"/>
        </w:rPr>
        <w:t>Document APG19-5</w:t>
      </w:r>
      <w:r w:rsidR="00926098">
        <w:rPr>
          <w:b/>
          <w:lang w:val="en-NZ" w:eastAsia="ko-KR"/>
        </w:rPr>
        <w:t>/INP-</w:t>
      </w:r>
      <w:r w:rsidR="00294990">
        <w:rPr>
          <w:b/>
          <w:lang w:val="en-NZ" w:eastAsia="ko-KR"/>
        </w:rPr>
        <w:t>108</w:t>
      </w:r>
    </w:p>
    <w:p w14:paraId="238C9DFF" w14:textId="4A66CAFF" w:rsidR="00321418" w:rsidRDefault="00766ABC" w:rsidP="009825DE">
      <w:pPr>
        <w:spacing w:afterLines="50" w:after="120"/>
        <w:jc w:val="thaiDistribute"/>
      </w:pPr>
      <w:r>
        <w:t xml:space="preserve">Malaysia and </w:t>
      </w:r>
      <w:r w:rsidRPr="00C37AAC">
        <w:t xml:space="preserve">Thailand support the single method indicated on no change (NOC) to the Radio Regulations to satisfy agenda item 9.1, issue 9.1.3 based on CPM Report for the </w:t>
      </w:r>
      <w:r w:rsidR="00DC1EAD" w:rsidRPr="00C37AAC">
        <w:t xml:space="preserve">frequency </w:t>
      </w:r>
      <w:r w:rsidR="00DC1EAD">
        <w:t xml:space="preserve">bands   </w:t>
      </w:r>
      <w:r w:rsidRPr="00C37AAC">
        <w:t xml:space="preserve">3 700 - 4 200 MHz, 4 500 - 4 800 MHz, 5 925 - 6 425 MHz and 6 725 – 7 025 </w:t>
      </w:r>
      <w:proofErr w:type="spellStart"/>
      <w:r w:rsidRPr="00C37AAC">
        <w:t>MH</w:t>
      </w:r>
      <w:r>
        <w:t>z.</w:t>
      </w:r>
      <w:proofErr w:type="spellEnd"/>
    </w:p>
    <w:p w14:paraId="3D6D6778" w14:textId="64FAC27F" w:rsidR="00766ABC" w:rsidRPr="00441526" w:rsidRDefault="00766ABC" w:rsidP="00766ABC">
      <w:pPr>
        <w:spacing w:after="120"/>
        <w:jc w:val="both"/>
        <w:rPr>
          <w:b/>
          <w:lang w:val="en-NZ" w:eastAsia="ko-KR"/>
        </w:rPr>
      </w:pPr>
      <w:r>
        <w:rPr>
          <w:b/>
          <w:lang w:val="en-NZ" w:eastAsia="ko-KR"/>
        </w:rPr>
        <w:t>3.1.7</w:t>
      </w:r>
      <w:r w:rsidRPr="00441526">
        <w:rPr>
          <w:b/>
          <w:lang w:val="en-NZ" w:eastAsia="ko-KR"/>
        </w:rPr>
        <w:tab/>
      </w:r>
      <w:r>
        <w:rPr>
          <w:b/>
          <w:lang w:val="en-NZ" w:eastAsia="ko-KR"/>
        </w:rPr>
        <w:t xml:space="preserve">Viet Nam </w:t>
      </w:r>
      <w:r w:rsidRPr="00441526">
        <w:t xml:space="preserve">- </w:t>
      </w:r>
      <w:r>
        <w:rPr>
          <w:b/>
          <w:lang w:val="en-NZ" w:eastAsia="ko-KR"/>
        </w:rPr>
        <w:t>Document APG19-5/INP-119</w:t>
      </w:r>
    </w:p>
    <w:p w14:paraId="4594B91B" w14:textId="77777777" w:rsidR="00766ABC" w:rsidRPr="00C454BE" w:rsidRDefault="00766ABC" w:rsidP="00766ABC">
      <w:pPr>
        <w:tabs>
          <w:tab w:val="left" w:pos="600"/>
        </w:tabs>
        <w:spacing w:before="120" w:after="120"/>
        <w:jc w:val="both"/>
      </w:pPr>
      <w:r w:rsidRPr="00C454BE">
        <w:t xml:space="preserve">Because of </w:t>
      </w:r>
      <w:r w:rsidRPr="00C454BE">
        <w:rPr>
          <w:lang w:eastAsia="zh-CN"/>
        </w:rPr>
        <w:t>large exceedances of the GSO protection criteria, Vietnam supports No change of Radio Regulations.</w:t>
      </w:r>
    </w:p>
    <w:p w14:paraId="74F7A17B" w14:textId="279A84FE" w:rsidR="00926098" w:rsidRPr="00441526" w:rsidRDefault="00766ABC" w:rsidP="00926098">
      <w:pPr>
        <w:spacing w:after="120"/>
        <w:jc w:val="both"/>
        <w:rPr>
          <w:b/>
          <w:lang w:val="en-NZ" w:eastAsia="ko-KR"/>
        </w:rPr>
      </w:pPr>
      <w:bookmarkStart w:id="23" w:name="OLE_LINK28"/>
      <w:r>
        <w:rPr>
          <w:b/>
          <w:lang w:val="en-NZ" w:eastAsia="ko-KR"/>
        </w:rPr>
        <w:t>3.1.8</w:t>
      </w:r>
      <w:r w:rsidR="00926098" w:rsidRPr="00441526">
        <w:rPr>
          <w:b/>
          <w:lang w:val="en-NZ" w:eastAsia="ko-KR"/>
        </w:rPr>
        <w:tab/>
      </w:r>
      <w:r w:rsidR="009825DE" w:rsidRPr="009825DE">
        <w:rPr>
          <w:b/>
          <w:lang w:val="en-NZ" w:eastAsia="ko-KR"/>
        </w:rPr>
        <w:t>Korea (Rep. of)</w:t>
      </w:r>
      <w:r w:rsidR="009825DE">
        <w:rPr>
          <w:b/>
          <w:lang w:val="en-NZ" w:eastAsia="ko-KR"/>
        </w:rPr>
        <w:t xml:space="preserve"> </w:t>
      </w:r>
      <w:r w:rsidR="00926098" w:rsidRPr="00441526">
        <w:t xml:space="preserve">- </w:t>
      </w:r>
      <w:r>
        <w:rPr>
          <w:b/>
          <w:lang w:val="en-NZ" w:eastAsia="ko-KR"/>
        </w:rPr>
        <w:t>Document APG19-5/INP-129</w:t>
      </w:r>
    </w:p>
    <w:bookmarkEnd w:id="23"/>
    <w:p w14:paraId="69415AE1" w14:textId="15A56D19" w:rsidR="00926098" w:rsidRDefault="00766ABC" w:rsidP="009D3066">
      <w:pPr>
        <w:spacing w:afterLines="50" w:after="120"/>
        <w:rPr>
          <w:spacing w:val="2"/>
          <w:lang w:eastAsia="ko-KR"/>
        </w:rPr>
      </w:pPr>
      <w:r w:rsidRPr="004573DF">
        <w:rPr>
          <w:spacing w:val="2"/>
          <w:lang w:val="en-NZ"/>
        </w:rPr>
        <w:t xml:space="preserve">The Republic of Korea supports the </w:t>
      </w:r>
      <w:r>
        <w:rPr>
          <w:rFonts w:hint="eastAsia"/>
          <w:spacing w:val="2"/>
          <w:lang w:val="en-NZ" w:eastAsia="ko-KR"/>
        </w:rPr>
        <w:t xml:space="preserve">ITU-R study </w:t>
      </w:r>
      <w:r w:rsidRPr="004573DF">
        <w:rPr>
          <w:spacing w:val="2"/>
          <w:lang w:val="en-NZ"/>
        </w:rPr>
        <w:t>result</w:t>
      </w:r>
      <w:r>
        <w:rPr>
          <w:rFonts w:hint="eastAsia"/>
          <w:spacing w:val="2"/>
          <w:lang w:val="en-NZ" w:eastAsia="ko-KR"/>
        </w:rPr>
        <w:t>s for this issue</w:t>
      </w:r>
      <w:r w:rsidRPr="004573DF">
        <w:rPr>
          <w:spacing w:val="2"/>
          <w:lang w:val="en-NZ"/>
        </w:rPr>
        <w:t xml:space="preserve">, which is no change </w:t>
      </w:r>
      <w:r w:rsidRPr="004573DF">
        <w:rPr>
          <w:spacing w:val="2"/>
          <w:lang w:eastAsia="ko-KR"/>
        </w:rPr>
        <w:t xml:space="preserve">of the values of the existing limits presented in Article </w:t>
      </w:r>
      <w:r w:rsidRPr="004573DF">
        <w:rPr>
          <w:b/>
          <w:spacing w:val="2"/>
          <w:lang w:eastAsia="ko-KR"/>
        </w:rPr>
        <w:t>22</w:t>
      </w:r>
      <w:r w:rsidRPr="004573DF">
        <w:rPr>
          <w:spacing w:val="2"/>
          <w:lang w:eastAsia="ko-KR"/>
        </w:rPr>
        <w:t xml:space="preserve"> </w:t>
      </w:r>
      <w:proofErr w:type="spellStart"/>
      <w:r w:rsidRPr="004573DF">
        <w:rPr>
          <w:spacing w:val="2"/>
          <w:lang w:eastAsia="ko-KR"/>
        </w:rPr>
        <w:t>epfd</w:t>
      </w:r>
      <w:proofErr w:type="spellEnd"/>
      <w:r w:rsidRPr="004573DF">
        <w:rPr>
          <w:spacing w:val="2"/>
          <w:lang w:eastAsia="ko-KR"/>
        </w:rPr>
        <w:t xml:space="preserve"> and Article </w:t>
      </w:r>
      <w:r w:rsidRPr="004573DF">
        <w:rPr>
          <w:b/>
          <w:spacing w:val="2"/>
          <w:lang w:eastAsia="ko-KR"/>
        </w:rPr>
        <w:t>21</w:t>
      </w:r>
      <w:r w:rsidRPr="004573DF">
        <w:rPr>
          <w:spacing w:val="2"/>
          <w:lang w:eastAsia="ko-KR"/>
        </w:rPr>
        <w:t xml:space="preserve"> </w:t>
      </w:r>
      <w:proofErr w:type="spellStart"/>
      <w:r w:rsidRPr="004573DF">
        <w:rPr>
          <w:spacing w:val="2"/>
          <w:lang w:eastAsia="ko-KR"/>
        </w:rPr>
        <w:t>pfd</w:t>
      </w:r>
      <w:proofErr w:type="spellEnd"/>
      <w:r w:rsidRPr="004573DF">
        <w:rPr>
          <w:spacing w:val="2"/>
          <w:lang w:eastAsia="ko-KR"/>
        </w:rPr>
        <w:t xml:space="preserve"> of the Radio Regulations for the 3 700</w:t>
      </w:r>
      <w:r>
        <w:rPr>
          <w:spacing w:val="2"/>
          <w:lang w:eastAsia="ko-KR"/>
        </w:rPr>
        <w:t>-</w:t>
      </w:r>
      <w:r w:rsidRPr="004573DF">
        <w:rPr>
          <w:spacing w:val="2"/>
          <w:lang w:eastAsia="ko-KR"/>
        </w:rPr>
        <w:t xml:space="preserve">4 200 MHz, 4 500-4 800 MHz, 5 925-6 425 MHz, and </w:t>
      </w:r>
      <w:r>
        <w:rPr>
          <w:spacing w:val="2"/>
          <w:lang w:eastAsia="ko-KR"/>
        </w:rPr>
        <w:t>6 725-7 025 MHz frequency bands</w:t>
      </w:r>
      <w:r w:rsidR="009D3066" w:rsidRPr="004573DF">
        <w:rPr>
          <w:spacing w:val="2"/>
          <w:lang w:eastAsia="ko-KR"/>
        </w:rPr>
        <w:t>.</w:t>
      </w:r>
    </w:p>
    <w:p w14:paraId="27A44BEF" w14:textId="77777777" w:rsidR="00F22216" w:rsidRPr="009D3066" w:rsidRDefault="00F22216" w:rsidP="009D3066">
      <w:pPr>
        <w:spacing w:afterLines="50" w:after="120"/>
        <w:rPr>
          <w:rFonts w:eastAsia="MS Mincho"/>
          <w:lang w:eastAsia="ja-JP"/>
        </w:rPr>
      </w:pPr>
    </w:p>
    <w:p w14:paraId="5BDF591D" w14:textId="77777777" w:rsidR="00233067" w:rsidRDefault="00233067" w:rsidP="008454C8">
      <w:pPr>
        <w:spacing w:after="120"/>
        <w:jc w:val="both"/>
        <w:rPr>
          <w:b/>
          <w:lang w:val="en-NZ"/>
        </w:rPr>
      </w:pPr>
    </w:p>
    <w:p w14:paraId="7E81F481" w14:textId="6B946CE1" w:rsidR="008454C8" w:rsidRPr="00441526" w:rsidRDefault="008454C8" w:rsidP="008454C8">
      <w:pPr>
        <w:spacing w:after="120"/>
        <w:jc w:val="both"/>
        <w:rPr>
          <w:b/>
          <w:lang w:val="en-NZ"/>
        </w:rPr>
      </w:pPr>
      <w:r w:rsidRPr="00441526">
        <w:rPr>
          <w:b/>
          <w:lang w:val="en-NZ"/>
        </w:rPr>
        <w:lastRenderedPageBreak/>
        <w:t xml:space="preserve">3.2 </w:t>
      </w:r>
      <w:r w:rsidRPr="00441526">
        <w:rPr>
          <w:b/>
          <w:lang w:val="en-NZ"/>
        </w:rPr>
        <w:tab/>
      </w:r>
      <w:r w:rsidR="002475E2" w:rsidRPr="00441526">
        <w:rPr>
          <w:b/>
          <w:lang w:val="en-NZ"/>
        </w:rPr>
        <w:t>S</w:t>
      </w:r>
      <w:r w:rsidR="002475E2" w:rsidRPr="00441526">
        <w:rPr>
          <w:b/>
          <w:lang w:val="en-NZ" w:eastAsia="ko-KR"/>
        </w:rPr>
        <w:t xml:space="preserve">ummary of </w:t>
      </w:r>
      <w:r w:rsidR="00BC69DB" w:rsidRPr="00441526">
        <w:rPr>
          <w:b/>
          <w:lang w:val="en-NZ" w:eastAsia="ko-KR"/>
        </w:rPr>
        <w:t>i</w:t>
      </w:r>
      <w:r w:rsidR="002475E2" w:rsidRPr="00441526">
        <w:rPr>
          <w:b/>
          <w:lang w:val="en-NZ" w:eastAsia="ko-KR"/>
        </w:rPr>
        <w:t xml:space="preserve">ssues </w:t>
      </w:r>
      <w:proofErr w:type="gramStart"/>
      <w:r w:rsidR="00BC69DB" w:rsidRPr="00441526">
        <w:rPr>
          <w:b/>
          <w:lang w:val="en-NZ" w:eastAsia="ko-KR"/>
        </w:rPr>
        <w:t>raised</w:t>
      </w:r>
      <w:proofErr w:type="gramEnd"/>
      <w:r w:rsidR="00BC69DB" w:rsidRPr="00441526">
        <w:rPr>
          <w:b/>
          <w:lang w:val="en-NZ" w:eastAsia="ko-KR"/>
        </w:rPr>
        <w:t xml:space="preserve"> du</w:t>
      </w:r>
      <w:r w:rsidRPr="00441526">
        <w:rPr>
          <w:b/>
          <w:lang w:val="en-NZ"/>
        </w:rPr>
        <w:t>ring the meeting</w:t>
      </w:r>
    </w:p>
    <w:p w14:paraId="27F09E9A" w14:textId="0A59A959" w:rsidR="00321418" w:rsidRDefault="009D3066" w:rsidP="00766ABC">
      <w:pPr>
        <w:spacing w:afterLines="50" w:after="120"/>
        <w:rPr>
          <w:rFonts w:eastAsia="SimSun"/>
          <w:bCs/>
          <w:lang w:val="en-GB" w:eastAsia="zh-CN"/>
        </w:rPr>
      </w:pPr>
      <w:proofErr w:type="gramStart"/>
      <w:r>
        <w:rPr>
          <w:rFonts w:eastAsia="SimSun"/>
          <w:bCs/>
          <w:lang w:val="en-GB" w:eastAsia="zh-CN"/>
        </w:rPr>
        <w:t>None.</w:t>
      </w:r>
      <w:proofErr w:type="gramEnd"/>
    </w:p>
    <w:p w14:paraId="226A929E" w14:textId="77777777" w:rsidR="00233067" w:rsidRPr="00321418" w:rsidRDefault="00233067" w:rsidP="00766ABC">
      <w:pPr>
        <w:spacing w:afterLines="50" w:after="120"/>
        <w:rPr>
          <w:lang w:val="en-NZ"/>
        </w:rPr>
      </w:pPr>
    </w:p>
    <w:p w14:paraId="132C30D0" w14:textId="1BBF8842" w:rsidR="003918C1" w:rsidRPr="00062E73" w:rsidRDefault="00B64A60" w:rsidP="00062E73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4. </w:t>
      </w:r>
      <w:r w:rsidRPr="00441526">
        <w:rPr>
          <w:b/>
          <w:lang w:val="en-NZ" w:eastAsia="ko-KR"/>
        </w:rPr>
        <w:tab/>
      </w:r>
      <w:r w:rsidR="004465AA" w:rsidRPr="00441526">
        <w:rPr>
          <w:b/>
          <w:lang w:val="en-NZ" w:eastAsia="ko-KR"/>
        </w:rPr>
        <w:t xml:space="preserve">APT </w:t>
      </w:r>
      <w:r w:rsidRPr="00441526">
        <w:rPr>
          <w:b/>
          <w:lang w:val="en-NZ" w:eastAsia="ko-KR"/>
        </w:rPr>
        <w:t>View</w:t>
      </w:r>
      <w:r w:rsidR="00D53688" w:rsidRPr="00441526">
        <w:rPr>
          <w:b/>
          <w:lang w:val="en-NZ" w:eastAsia="ko-KR"/>
        </w:rPr>
        <w:t>(s)</w:t>
      </w:r>
    </w:p>
    <w:p w14:paraId="07560D98" w14:textId="5A86E65A" w:rsidR="00062E73" w:rsidRDefault="00062E73" w:rsidP="007D5E7F">
      <w:pPr>
        <w:jc w:val="both"/>
        <w:rPr>
          <w:bCs/>
          <w:lang w:val="id-ID"/>
        </w:rPr>
      </w:pPr>
      <w:r>
        <w:rPr>
          <w:rFonts w:eastAsiaTheme="minorEastAsia"/>
          <w:lang w:val="en-NZ" w:eastAsia="zh-CN"/>
        </w:rPr>
        <w:t xml:space="preserve">APT Members support </w:t>
      </w:r>
      <w:r w:rsidR="00F11BCC">
        <w:rPr>
          <w:lang w:val="en-NZ"/>
        </w:rPr>
        <w:t>n</w:t>
      </w:r>
      <w:r>
        <w:rPr>
          <w:lang w:val="en-NZ"/>
        </w:rPr>
        <w:t>o change</w:t>
      </w:r>
      <w:r w:rsidR="007C1250">
        <w:rPr>
          <w:lang w:val="en-NZ"/>
        </w:rPr>
        <w:t xml:space="preserve"> (NOC)</w:t>
      </w:r>
      <w:r>
        <w:rPr>
          <w:lang w:val="en-NZ"/>
        </w:rPr>
        <w:t xml:space="preserve"> </w:t>
      </w:r>
      <w:r w:rsidRPr="00062E73">
        <w:rPr>
          <w:lang w:val="en-NZ"/>
        </w:rPr>
        <w:t>to the Radio Regulations</w:t>
      </w:r>
      <w:r>
        <w:rPr>
          <w:lang w:val="en-NZ"/>
        </w:rPr>
        <w:t xml:space="preserve"> to </w:t>
      </w:r>
      <w:r w:rsidR="000D6477">
        <w:rPr>
          <w:rFonts w:eastAsiaTheme="minorEastAsia"/>
          <w:lang w:val="en-NZ" w:eastAsia="zh-CN"/>
        </w:rPr>
        <w:t>satisfy</w:t>
      </w:r>
      <w:r>
        <w:rPr>
          <w:rFonts w:eastAsiaTheme="minorEastAsia"/>
          <w:lang w:val="en-NZ" w:eastAsia="zh-CN"/>
        </w:rPr>
        <w:t xml:space="preserve"> </w:t>
      </w:r>
      <w:r>
        <w:rPr>
          <w:lang w:val="en-NZ"/>
        </w:rPr>
        <w:t xml:space="preserve">agenda item 9.1, issue 9.1.3 based on </w:t>
      </w:r>
      <w:r w:rsidR="000D6477">
        <w:rPr>
          <w:rFonts w:eastAsiaTheme="minorEastAsia"/>
          <w:lang w:val="en-NZ" w:eastAsia="zh-CN"/>
        </w:rPr>
        <w:t>study</w:t>
      </w:r>
      <w:r>
        <w:rPr>
          <w:rFonts w:eastAsiaTheme="minorEastAsia"/>
          <w:lang w:val="en-NZ" w:eastAsia="zh-CN"/>
        </w:rPr>
        <w:t xml:space="preserve"> </w:t>
      </w:r>
      <w:r w:rsidR="007F3166">
        <w:rPr>
          <w:rFonts w:eastAsiaTheme="minorEastAsia"/>
          <w:lang w:val="en-NZ" w:eastAsia="zh-CN"/>
        </w:rPr>
        <w:t>results</w:t>
      </w:r>
      <w:r>
        <w:rPr>
          <w:rFonts w:eastAsiaTheme="minorEastAsia"/>
          <w:lang w:val="en-NZ" w:eastAsia="zh-CN"/>
        </w:rPr>
        <w:t xml:space="preserve"> of </w:t>
      </w:r>
      <w:r w:rsidR="000D6477">
        <w:rPr>
          <w:lang w:val="id-ID"/>
        </w:rPr>
        <w:t>ITU-R</w:t>
      </w:r>
      <w:r w:rsidRPr="00FF1969">
        <w:rPr>
          <w:lang w:val="id-ID"/>
        </w:rPr>
        <w:t xml:space="preserve"> for new non-GSO systems in the 3 700-4 200 MHz, 4 500-4 800 MHz, 5 925-6 425 MHz and 6 725-7 025 MHz frequency bands under the terms of Resolution </w:t>
      </w:r>
      <w:r w:rsidRPr="00FF1969">
        <w:rPr>
          <w:b/>
          <w:bCs/>
          <w:lang w:val="id-ID"/>
        </w:rPr>
        <w:t>157 (WRC-15)</w:t>
      </w:r>
      <w:r w:rsidR="000D6477" w:rsidRPr="000D6477">
        <w:rPr>
          <w:bCs/>
          <w:lang w:val="id-ID"/>
        </w:rPr>
        <w:t>.</w:t>
      </w:r>
    </w:p>
    <w:p w14:paraId="66C24E0B" w14:textId="77777777" w:rsidR="00B52AB5" w:rsidRPr="00B52AB5" w:rsidRDefault="00B52AB5" w:rsidP="00BC69DB">
      <w:pPr>
        <w:rPr>
          <w:rFonts w:eastAsiaTheme="minorEastAsia"/>
          <w:lang w:val="id-ID" w:eastAsia="zh-CN"/>
        </w:rPr>
      </w:pPr>
    </w:p>
    <w:p w14:paraId="2E0E6761" w14:textId="2266C8FA" w:rsidR="00B64A60" w:rsidRPr="003918C1" w:rsidRDefault="00B64A60" w:rsidP="003918C1">
      <w:pPr>
        <w:spacing w:after="120"/>
        <w:jc w:val="both"/>
        <w:rPr>
          <w:b/>
          <w:lang w:val="en-NZ" w:eastAsia="ko-KR"/>
        </w:rPr>
      </w:pPr>
      <w:r w:rsidRPr="00441526">
        <w:rPr>
          <w:b/>
          <w:lang w:val="en-NZ" w:eastAsia="ko-KR"/>
        </w:rPr>
        <w:t xml:space="preserve">5. </w:t>
      </w:r>
      <w:r w:rsidRPr="00441526">
        <w:rPr>
          <w:b/>
          <w:lang w:val="en-NZ" w:eastAsia="ko-KR"/>
        </w:rPr>
        <w:tab/>
      </w:r>
      <w:r w:rsidR="00766ABC">
        <w:rPr>
          <w:b/>
          <w:lang w:val="en-NZ" w:eastAsia="ko-KR"/>
        </w:rPr>
        <w:t>P</w:t>
      </w:r>
      <w:r w:rsidR="007F3166">
        <w:rPr>
          <w:b/>
          <w:lang w:val="en-NZ" w:eastAsia="ko-KR"/>
        </w:rPr>
        <w:t xml:space="preserve">reliminary </w:t>
      </w:r>
      <w:r w:rsidR="00766ABC">
        <w:rPr>
          <w:b/>
          <w:lang w:val="en-NZ" w:eastAsia="ko-KR"/>
        </w:rPr>
        <w:t>A</w:t>
      </w:r>
      <w:r w:rsidR="007F3166">
        <w:rPr>
          <w:b/>
          <w:lang w:val="en-NZ" w:eastAsia="ko-KR"/>
        </w:rPr>
        <w:t xml:space="preserve">PT </w:t>
      </w:r>
      <w:r w:rsidR="00766ABC">
        <w:rPr>
          <w:b/>
          <w:lang w:val="en-NZ" w:eastAsia="ko-KR"/>
        </w:rPr>
        <w:t>C</w:t>
      </w:r>
      <w:r w:rsidR="007F3166">
        <w:rPr>
          <w:b/>
          <w:lang w:val="en-NZ" w:eastAsia="ko-KR"/>
        </w:rPr>
        <w:t xml:space="preserve">ommon </w:t>
      </w:r>
      <w:r w:rsidR="00766ABC">
        <w:rPr>
          <w:b/>
          <w:lang w:val="en-NZ" w:eastAsia="ko-KR"/>
        </w:rPr>
        <w:t>P</w:t>
      </w:r>
      <w:r w:rsidR="007F3166">
        <w:rPr>
          <w:b/>
          <w:lang w:val="en-NZ" w:eastAsia="ko-KR"/>
        </w:rPr>
        <w:t>roposals</w:t>
      </w:r>
    </w:p>
    <w:p w14:paraId="1A5AA411" w14:textId="6B4B27CC" w:rsidR="003918C1" w:rsidRDefault="003918C1" w:rsidP="00B64A60">
      <w:pPr>
        <w:rPr>
          <w:rFonts w:eastAsiaTheme="minorEastAsia"/>
          <w:lang w:val="en-NZ" w:eastAsia="zh-CN"/>
        </w:rPr>
      </w:pPr>
    </w:p>
    <w:bookmarkStart w:id="24" w:name="_MON_1626160663"/>
    <w:bookmarkEnd w:id="24"/>
    <w:p w14:paraId="2254DA3F" w14:textId="77777777" w:rsidR="003918C1" w:rsidRPr="003918C1" w:rsidRDefault="00233067" w:rsidP="00B64A60">
      <w:pPr>
        <w:rPr>
          <w:rFonts w:eastAsiaTheme="minorEastAsia"/>
          <w:lang w:val="en-NZ" w:eastAsia="zh-CN"/>
        </w:rPr>
      </w:pPr>
      <w:r>
        <w:rPr>
          <w:rFonts w:eastAsiaTheme="minorEastAsia"/>
          <w:lang w:val="en-NZ" w:eastAsia="zh-CN"/>
        </w:rPr>
        <w:object w:dxaOrig="1309" w:dyaOrig="902" w14:anchorId="4AEE9B86">
          <v:shape id="_x0000_i1026" type="#_x0000_t75" style="width:65.25pt;height:45pt" o:ole="">
            <v:imagedata r:id="rId12" o:title=""/>
          </v:shape>
          <o:OLEObject Type="Embed" ProgID="Word.Document.12" ShapeID="_x0000_i1026" DrawAspect="Icon" ObjectID="_1627351405" r:id="rId13">
            <o:FieldCodes>\s</o:FieldCodes>
          </o:OLEObject>
        </w:object>
      </w:r>
    </w:p>
    <w:p w14:paraId="1BF60D3F" w14:textId="77777777" w:rsidR="004C5A29" w:rsidRPr="004C5A29" w:rsidRDefault="004C5A29" w:rsidP="00F5673B">
      <w:pPr>
        <w:rPr>
          <w:lang w:val="en-NZ"/>
        </w:rPr>
      </w:pPr>
    </w:p>
    <w:p w14:paraId="2E0E676F" w14:textId="77777777" w:rsidR="00654896" w:rsidRPr="00441526" w:rsidRDefault="00654896" w:rsidP="00B64A60">
      <w:pPr>
        <w:rPr>
          <w:b/>
          <w:lang w:val="en-NZ"/>
        </w:rPr>
      </w:pPr>
    </w:p>
    <w:p w14:paraId="2E0E6770" w14:textId="77777777" w:rsidR="00B64A60" w:rsidRPr="00710333" w:rsidRDefault="00B64A60" w:rsidP="00B64A60">
      <w:pPr>
        <w:jc w:val="center"/>
        <w:rPr>
          <w:snapToGrid w:val="0"/>
          <w:lang w:val="en-NZ"/>
        </w:rPr>
      </w:pPr>
      <w:r w:rsidRPr="00441526">
        <w:rPr>
          <w:lang w:val="en-NZ"/>
        </w:rPr>
        <w:t>____________</w:t>
      </w:r>
    </w:p>
    <w:p w14:paraId="2E0E6771" w14:textId="77777777" w:rsidR="00930E64" w:rsidRPr="007673CA" w:rsidRDefault="00930E64" w:rsidP="00D13D9D">
      <w:pPr>
        <w:jc w:val="both"/>
        <w:rPr>
          <w:lang w:val="en-NZ"/>
        </w:rPr>
      </w:pPr>
    </w:p>
    <w:sectPr w:rsidR="00930E64" w:rsidRPr="007673CA" w:rsidSect="00DB0A68">
      <w:headerReference w:type="default" r:id="rId14"/>
      <w:footerReference w:type="even" r:id="rId15"/>
      <w:footerReference w:type="default" r:id="rId16"/>
      <w:footerReference w:type="first" r:id="rId17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B4D41" w14:textId="77777777" w:rsidR="000D7794" w:rsidRDefault="000D7794">
      <w:r>
        <w:separator/>
      </w:r>
    </w:p>
  </w:endnote>
  <w:endnote w:type="continuationSeparator" w:id="0">
    <w:p w14:paraId="46B46BD9" w14:textId="77777777" w:rsidR="000D7794" w:rsidRDefault="000D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A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0E677B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C" w14:textId="6D69F46F" w:rsidR="0097693B" w:rsidRDefault="00EA2051" w:rsidP="003404AF">
    <w:pPr>
      <w:pStyle w:val="Footer"/>
      <w:tabs>
        <w:tab w:val="clear" w:pos="8640"/>
        <w:tab w:val="right" w:pos="8931"/>
      </w:tabs>
      <w:wordWrap w:val="0"/>
      <w:ind w:right="360"/>
      <w:jc w:val="right"/>
    </w:pPr>
    <w:r>
      <w:rPr>
        <w:rFonts w:hint="eastAsia"/>
        <w:lang w:eastAsia="ko-KR"/>
      </w:rPr>
      <w:t>A</w:t>
    </w:r>
    <w:r>
      <w:rPr>
        <w:lang w:eastAsia="ko-KR"/>
      </w:rPr>
      <w:t>PG19-</w:t>
    </w:r>
    <w:r w:rsidR="00BA220E">
      <w:rPr>
        <w:lang w:eastAsia="ko-KR"/>
      </w:rPr>
      <w:t>5/OUT-22</w:t>
    </w:r>
    <w:r>
      <w:rPr>
        <w:lang w:eastAsia="ko-KR"/>
      </w:rPr>
      <w:t xml:space="preserve">                                                                   </w:t>
    </w:r>
    <w:r w:rsidR="00F30B70">
      <w:rPr>
        <w:lang w:eastAsia="ko-KR"/>
      </w:rPr>
      <w:t xml:space="preserve">                           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9F7908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9F7908">
      <w:rPr>
        <w:rStyle w:val="PageNumber"/>
        <w:noProof/>
      </w:rPr>
      <w:t>4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14:paraId="2E0E6780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E0E677D" w14:textId="77777777"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2E0E677E" w14:textId="77777777"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2E0E677F" w14:textId="77777777" w:rsidR="0097693B" w:rsidRDefault="0097693B" w:rsidP="00762576">
          <w:pPr>
            <w:rPr>
              <w:lang w:eastAsia="ja-JP"/>
            </w:rPr>
          </w:pPr>
        </w:p>
      </w:tc>
    </w:tr>
  </w:tbl>
  <w:p w14:paraId="2E0E6781" w14:textId="77777777"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1D4E" w14:textId="77777777" w:rsidR="000D7794" w:rsidRDefault="000D7794">
      <w:r>
        <w:separator/>
      </w:r>
    </w:p>
  </w:footnote>
  <w:footnote w:type="continuationSeparator" w:id="0">
    <w:p w14:paraId="7316453E" w14:textId="77777777" w:rsidR="000D7794" w:rsidRDefault="000D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6778" w14:textId="359951CE"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14:paraId="2E0E6779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2B"/>
    <w:multiLevelType w:val="hybridMultilevel"/>
    <w:tmpl w:val="364C5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0EAC1C2C"/>
    <w:multiLevelType w:val="multilevel"/>
    <w:tmpl w:val="F01868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79242A1"/>
    <w:multiLevelType w:val="hybridMultilevel"/>
    <w:tmpl w:val="DB6C764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A31686"/>
    <w:multiLevelType w:val="hybridMultilevel"/>
    <w:tmpl w:val="AAF29156"/>
    <w:lvl w:ilvl="0" w:tplc="A114EBFA">
      <w:start w:val="1"/>
      <w:numFmt w:val="bullet"/>
      <w:lvlText w:val="-"/>
      <w:lvlJc w:val="left"/>
      <w:pPr>
        <w:ind w:left="703" w:hanging="42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>
    <w:nsid w:val="2FA7463F"/>
    <w:multiLevelType w:val="hybridMultilevel"/>
    <w:tmpl w:val="D2B878D4"/>
    <w:lvl w:ilvl="0" w:tplc="148491A4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>
    <w:nsid w:val="3491534B"/>
    <w:multiLevelType w:val="hybridMultilevel"/>
    <w:tmpl w:val="28F21802"/>
    <w:lvl w:ilvl="0" w:tplc="103AF6D0">
      <w:start w:val="2"/>
      <w:numFmt w:val="bullet"/>
      <w:lvlText w:val="-"/>
      <w:lvlJc w:val="left"/>
      <w:pPr>
        <w:ind w:left="60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3BBE1A4D"/>
    <w:multiLevelType w:val="hybridMultilevel"/>
    <w:tmpl w:val="E8E6722C"/>
    <w:lvl w:ilvl="0" w:tplc="A114EBFA">
      <w:start w:val="1"/>
      <w:numFmt w:val="bullet"/>
      <w:lvlText w:val="-"/>
      <w:lvlJc w:val="left"/>
      <w:pPr>
        <w:ind w:left="108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14090003">
      <w:start w:val="1"/>
      <w:numFmt w:val="bullet"/>
      <w:lvlText w:val="o"/>
      <w:lvlJc w:val="left"/>
      <w:pPr>
        <w:ind w:left="2320" w:hanging="40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5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D4016"/>
    <w:multiLevelType w:val="hybridMultilevel"/>
    <w:tmpl w:val="DEF4EF58"/>
    <w:lvl w:ilvl="0" w:tplc="B816B436">
      <w:start w:val="1"/>
      <w:numFmt w:val="bullet"/>
      <w:lvlText w:val="-"/>
      <w:lvlJc w:val="left"/>
      <w:pPr>
        <w:ind w:left="1140" w:hanging="42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>
    <w:nsid w:val="5B1F05F1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737239D2"/>
    <w:multiLevelType w:val="multilevel"/>
    <w:tmpl w:val="4C5255E8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74F36918"/>
    <w:multiLevelType w:val="hybridMultilevel"/>
    <w:tmpl w:val="1F462B02"/>
    <w:lvl w:ilvl="0" w:tplc="5E1A8D2A">
      <w:start w:val="4"/>
      <w:numFmt w:val="bullet"/>
      <w:lvlText w:val=""/>
      <w:lvlJc w:val="left"/>
      <w:pPr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23">
    <w:nsid w:val="7A613B19"/>
    <w:multiLevelType w:val="hybridMultilevel"/>
    <w:tmpl w:val="96F85162"/>
    <w:lvl w:ilvl="0" w:tplc="08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25CCC"/>
    <w:multiLevelType w:val="hybridMultilevel"/>
    <w:tmpl w:val="9D8A2134"/>
    <w:lvl w:ilvl="0" w:tplc="E94A71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9"/>
  </w:num>
  <w:num w:numId="5">
    <w:abstractNumId w:val="10"/>
  </w:num>
  <w:num w:numId="6">
    <w:abstractNumId w:val="13"/>
  </w:num>
  <w:num w:numId="7">
    <w:abstractNumId w:val="3"/>
  </w:num>
  <w:num w:numId="8">
    <w:abstractNumId w:val="1"/>
  </w:num>
  <w:num w:numId="9">
    <w:abstractNumId w:val="22"/>
  </w:num>
  <w:num w:numId="10">
    <w:abstractNumId w:val="18"/>
  </w:num>
  <w:num w:numId="11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9"/>
  </w:num>
  <w:num w:numId="21">
    <w:abstractNumId w:val="20"/>
  </w:num>
  <w:num w:numId="22">
    <w:abstractNumId w:val="24"/>
  </w:num>
  <w:num w:numId="23">
    <w:abstractNumId w:val="11"/>
  </w:num>
  <w:num w:numId="24">
    <w:abstractNumId w:val="2"/>
  </w:num>
  <w:num w:numId="25">
    <w:abstractNumId w:val="8"/>
  </w:num>
  <w:num w:numId="26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程粉红">
    <w15:presenceInfo w15:providerId="None" w15:userId="程粉红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035BD"/>
    <w:rsid w:val="00010C8E"/>
    <w:rsid w:val="000135DD"/>
    <w:rsid w:val="0003595B"/>
    <w:rsid w:val="00036517"/>
    <w:rsid w:val="00036CC9"/>
    <w:rsid w:val="00040149"/>
    <w:rsid w:val="00043CC3"/>
    <w:rsid w:val="00061D34"/>
    <w:rsid w:val="00062E73"/>
    <w:rsid w:val="0006587E"/>
    <w:rsid w:val="00070642"/>
    <w:rsid w:val="000713CF"/>
    <w:rsid w:val="000718E3"/>
    <w:rsid w:val="00071FB1"/>
    <w:rsid w:val="00075C14"/>
    <w:rsid w:val="000822B5"/>
    <w:rsid w:val="00083628"/>
    <w:rsid w:val="00094B87"/>
    <w:rsid w:val="000A012B"/>
    <w:rsid w:val="000A5418"/>
    <w:rsid w:val="000C081A"/>
    <w:rsid w:val="000D6477"/>
    <w:rsid w:val="000D7794"/>
    <w:rsid w:val="000F2C0F"/>
    <w:rsid w:val="000F345F"/>
    <w:rsid w:val="000F517C"/>
    <w:rsid w:val="000F5540"/>
    <w:rsid w:val="00105F1A"/>
    <w:rsid w:val="001062E7"/>
    <w:rsid w:val="00116C38"/>
    <w:rsid w:val="00125FBD"/>
    <w:rsid w:val="001409B2"/>
    <w:rsid w:val="0014594D"/>
    <w:rsid w:val="00152636"/>
    <w:rsid w:val="0015288B"/>
    <w:rsid w:val="001539DD"/>
    <w:rsid w:val="00156782"/>
    <w:rsid w:val="00165F01"/>
    <w:rsid w:val="001731F4"/>
    <w:rsid w:val="00187630"/>
    <w:rsid w:val="001916F2"/>
    <w:rsid w:val="001930A7"/>
    <w:rsid w:val="00196568"/>
    <w:rsid w:val="00197C18"/>
    <w:rsid w:val="001A2F16"/>
    <w:rsid w:val="001B1804"/>
    <w:rsid w:val="001B18C2"/>
    <w:rsid w:val="001C443F"/>
    <w:rsid w:val="001C61A5"/>
    <w:rsid w:val="001C6707"/>
    <w:rsid w:val="001C6F13"/>
    <w:rsid w:val="001D5D7E"/>
    <w:rsid w:val="001F5947"/>
    <w:rsid w:val="00202410"/>
    <w:rsid w:val="00214A0C"/>
    <w:rsid w:val="0021588B"/>
    <w:rsid w:val="00215D34"/>
    <w:rsid w:val="002161B6"/>
    <w:rsid w:val="002216AC"/>
    <w:rsid w:val="00233067"/>
    <w:rsid w:val="002414FA"/>
    <w:rsid w:val="0024741B"/>
    <w:rsid w:val="002475E2"/>
    <w:rsid w:val="002506D2"/>
    <w:rsid w:val="00250DE2"/>
    <w:rsid w:val="00254A1B"/>
    <w:rsid w:val="0026064A"/>
    <w:rsid w:val="00264566"/>
    <w:rsid w:val="0028454D"/>
    <w:rsid w:val="00291C9E"/>
    <w:rsid w:val="002926D4"/>
    <w:rsid w:val="00294990"/>
    <w:rsid w:val="0029734E"/>
    <w:rsid w:val="002A3CF5"/>
    <w:rsid w:val="002B06A3"/>
    <w:rsid w:val="002B2168"/>
    <w:rsid w:val="002B3179"/>
    <w:rsid w:val="002B435C"/>
    <w:rsid w:val="002B447F"/>
    <w:rsid w:val="002C07DA"/>
    <w:rsid w:val="002C2A49"/>
    <w:rsid w:val="002C7EA9"/>
    <w:rsid w:val="002D17F2"/>
    <w:rsid w:val="002F575D"/>
    <w:rsid w:val="003113D7"/>
    <w:rsid w:val="00311E8A"/>
    <w:rsid w:val="00321418"/>
    <w:rsid w:val="00326E2B"/>
    <w:rsid w:val="003404AF"/>
    <w:rsid w:val="00342F20"/>
    <w:rsid w:val="00360377"/>
    <w:rsid w:val="00363E12"/>
    <w:rsid w:val="0036402F"/>
    <w:rsid w:val="00364B55"/>
    <w:rsid w:val="00366548"/>
    <w:rsid w:val="0038005B"/>
    <w:rsid w:val="003809C7"/>
    <w:rsid w:val="0038236C"/>
    <w:rsid w:val="003918C1"/>
    <w:rsid w:val="00393DCD"/>
    <w:rsid w:val="00395B40"/>
    <w:rsid w:val="003A2006"/>
    <w:rsid w:val="003A6568"/>
    <w:rsid w:val="003A723F"/>
    <w:rsid w:val="003B4FD1"/>
    <w:rsid w:val="003B6263"/>
    <w:rsid w:val="003C29E6"/>
    <w:rsid w:val="003C3D0F"/>
    <w:rsid w:val="003C64A7"/>
    <w:rsid w:val="003D1128"/>
    <w:rsid w:val="003D1671"/>
    <w:rsid w:val="003D3FDA"/>
    <w:rsid w:val="003D6D00"/>
    <w:rsid w:val="003E166F"/>
    <w:rsid w:val="003F307E"/>
    <w:rsid w:val="003F70E0"/>
    <w:rsid w:val="004001E5"/>
    <w:rsid w:val="004028F1"/>
    <w:rsid w:val="0041313C"/>
    <w:rsid w:val="00420822"/>
    <w:rsid w:val="00420C74"/>
    <w:rsid w:val="004328B0"/>
    <w:rsid w:val="00434CBB"/>
    <w:rsid w:val="00441526"/>
    <w:rsid w:val="00445D14"/>
    <w:rsid w:val="004465AA"/>
    <w:rsid w:val="00446A5E"/>
    <w:rsid w:val="0045458F"/>
    <w:rsid w:val="004630C4"/>
    <w:rsid w:val="004633B4"/>
    <w:rsid w:val="0046729A"/>
    <w:rsid w:val="00495CED"/>
    <w:rsid w:val="004A2F96"/>
    <w:rsid w:val="004B3553"/>
    <w:rsid w:val="004B3F4B"/>
    <w:rsid w:val="004C5A29"/>
    <w:rsid w:val="004E1FCA"/>
    <w:rsid w:val="004E2B07"/>
    <w:rsid w:val="004E47D6"/>
    <w:rsid w:val="004F67AF"/>
    <w:rsid w:val="00503189"/>
    <w:rsid w:val="005145A6"/>
    <w:rsid w:val="00526D01"/>
    <w:rsid w:val="00530E8C"/>
    <w:rsid w:val="00535D34"/>
    <w:rsid w:val="00545933"/>
    <w:rsid w:val="00550252"/>
    <w:rsid w:val="00552105"/>
    <w:rsid w:val="005562F2"/>
    <w:rsid w:val="00557544"/>
    <w:rsid w:val="00565BBB"/>
    <w:rsid w:val="00570C8C"/>
    <w:rsid w:val="00585F3C"/>
    <w:rsid w:val="00586CA0"/>
    <w:rsid w:val="00587875"/>
    <w:rsid w:val="00587A81"/>
    <w:rsid w:val="005A63EB"/>
    <w:rsid w:val="005B0876"/>
    <w:rsid w:val="005B5A88"/>
    <w:rsid w:val="005C33B6"/>
    <w:rsid w:val="005D6202"/>
    <w:rsid w:val="005D6E98"/>
    <w:rsid w:val="005F1281"/>
    <w:rsid w:val="005F1D67"/>
    <w:rsid w:val="005F2785"/>
    <w:rsid w:val="00601F41"/>
    <w:rsid w:val="00607E2B"/>
    <w:rsid w:val="006139D6"/>
    <w:rsid w:val="00616D1B"/>
    <w:rsid w:val="00623CE1"/>
    <w:rsid w:val="00627880"/>
    <w:rsid w:val="0063062B"/>
    <w:rsid w:val="00634A82"/>
    <w:rsid w:val="00637351"/>
    <w:rsid w:val="00646099"/>
    <w:rsid w:val="00646166"/>
    <w:rsid w:val="00654896"/>
    <w:rsid w:val="006621F0"/>
    <w:rsid w:val="006647BA"/>
    <w:rsid w:val="006649CD"/>
    <w:rsid w:val="00667229"/>
    <w:rsid w:val="00680269"/>
    <w:rsid w:val="00682BE5"/>
    <w:rsid w:val="00683846"/>
    <w:rsid w:val="006872DC"/>
    <w:rsid w:val="00690FED"/>
    <w:rsid w:val="006939A5"/>
    <w:rsid w:val="006D5223"/>
    <w:rsid w:val="006E12FC"/>
    <w:rsid w:val="006F0F24"/>
    <w:rsid w:val="006F2B2E"/>
    <w:rsid w:val="006F6A5C"/>
    <w:rsid w:val="0070339F"/>
    <w:rsid w:val="00703F6F"/>
    <w:rsid w:val="007052B3"/>
    <w:rsid w:val="00705962"/>
    <w:rsid w:val="00707C21"/>
    <w:rsid w:val="00712451"/>
    <w:rsid w:val="00717DE9"/>
    <w:rsid w:val="00720528"/>
    <w:rsid w:val="00723FEF"/>
    <w:rsid w:val="0072518B"/>
    <w:rsid w:val="00731041"/>
    <w:rsid w:val="007329E4"/>
    <w:rsid w:val="00732F08"/>
    <w:rsid w:val="007342F0"/>
    <w:rsid w:val="00737B00"/>
    <w:rsid w:val="0074190C"/>
    <w:rsid w:val="0075493D"/>
    <w:rsid w:val="00762576"/>
    <w:rsid w:val="00766ABC"/>
    <w:rsid w:val="007673CA"/>
    <w:rsid w:val="0077428D"/>
    <w:rsid w:val="0078478F"/>
    <w:rsid w:val="00791060"/>
    <w:rsid w:val="007926EA"/>
    <w:rsid w:val="007B5626"/>
    <w:rsid w:val="007B6124"/>
    <w:rsid w:val="007C1250"/>
    <w:rsid w:val="007C7078"/>
    <w:rsid w:val="007D3C53"/>
    <w:rsid w:val="007D5E7F"/>
    <w:rsid w:val="007E0456"/>
    <w:rsid w:val="007E3767"/>
    <w:rsid w:val="007E3A0F"/>
    <w:rsid w:val="007F2628"/>
    <w:rsid w:val="007F2FBA"/>
    <w:rsid w:val="007F3166"/>
    <w:rsid w:val="00800C3A"/>
    <w:rsid w:val="0080570B"/>
    <w:rsid w:val="008148E1"/>
    <w:rsid w:val="00823912"/>
    <w:rsid w:val="0082735D"/>
    <w:rsid w:val="008319BF"/>
    <w:rsid w:val="008415F0"/>
    <w:rsid w:val="008433C2"/>
    <w:rsid w:val="00844457"/>
    <w:rsid w:val="008454C8"/>
    <w:rsid w:val="00851D78"/>
    <w:rsid w:val="008520B1"/>
    <w:rsid w:val="00852343"/>
    <w:rsid w:val="008669E8"/>
    <w:rsid w:val="008674F9"/>
    <w:rsid w:val="008A016F"/>
    <w:rsid w:val="008A1A0D"/>
    <w:rsid w:val="008A579D"/>
    <w:rsid w:val="008A72E1"/>
    <w:rsid w:val="008A76ED"/>
    <w:rsid w:val="008B3C72"/>
    <w:rsid w:val="008D0E09"/>
    <w:rsid w:val="008E242F"/>
    <w:rsid w:val="00903007"/>
    <w:rsid w:val="00910972"/>
    <w:rsid w:val="00923816"/>
    <w:rsid w:val="00926098"/>
    <w:rsid w:val="0093074B"/>
    <w:rsid w:val="00930E64"/>
    <w:rsid w:val="00943CF9"/>
    <w:rsid w:val="00956F8C"/>
    <w:rsid w:val="00961D57"/>
    <w:rsid w:val="009633F1"/>
    <w:rsid w:val="00976716"/>
    <w:rsid w:val="0097693B"/>
    <w:rsid w:val="009825DE"/>
    <w:rsid w:val="00993355"/>
    <w:rsid w:val="009963F7"/>
    <w:rsid w:val="009A11CB"/>
    <w:rsid w:val="009A4A6D"/>
    <w:rsid w:val="009B2A3B"/>
    <w:rsid w:val="009B44DD"/>
    <w:rsid w:val="009B7E42"/>
    <w:rsid w:val="009C3210"/>
    <w:rsid w:val="009D3066"/>
    <w:rsid w:val="009D38A9"/>
    <w:rsid w:val="009D46CE"/>
    <w:rsid w:val="009D4ADA"/>
    <w:rsid w:val="009E13DD"/>
    <w:rsid w:val="009F547A"/>
    <w:rsid w:val="009F7908"/>
    <w:rsid w:val="00A0503B"/>
    <w:rsid w:val="00A059CD"/>
    <w:rsid w:val="00A13265"/>
    <w:rsid w:val="00A14900"/>
    <w:rsid w:val="00A2159F"/>
    <w:rsid w:val="00A34AE5"/>
    <w:rsid w:val="00A41925"/>
    <w:rsid w:val="00A438D0"/>
    <w:rsid w:val="00A529BC"/>
    <w:rsid w:val="00A5346C"/>
    <w:rsid w:val="00A53F51"/>
    <w:rsid w:val="00A53FC8"/>
    <w:rsid w:val="00A562F0"/>
    <w:rsid w:val="00A564FB"/>
    <w:rsid w:val="00A614C1"/>
    <w:rsid w:val="00A61EA6"/>
    <w:rsid w:val="00A657BF"/>
    <w:rsid w:val="00A71136"/>
    <w:rsid w:val="00A92578"/>
    <w:rsid w:val="00AA474C"/>
    <w:rsid w:val="00AB1900"/>
    <w:rsid w:val="00AC35EF"/>
    <w:rsid w:val="00AC4D5B"/>
    <w:rsid w:val="00AD1DDB"/>
    <w:rsid w:val="00AD2697"/>
    <w:rsid w:val="00AD7E5F"/>
    <w:rsid w:val="00AE3066"/>
    <w:rsid w:val="00AF0F21"/>
    <w:rsid w:val="00AF68E4"/>
    <w:rsid w:val="00B00A87"/>
    <w:rsid w:val="00B01AA1"/>
    <w:rsid w:val="00B06025"/>
    <w:rsid w:val="00B14564"/>
    <w:rsid w:val="00B30C81"/>
    <w:rsid w:val="00B30DA1"/>
    <w:rsid w:val="00B43A6A"/>
    <w:rsid w:val="00B4793B"/>
    <w:rsid w:val="00B52AB5"/>
    <w:rsid w:val="00B56099"/>
    <w:rsid w:val="00B64A60"/>
    <w:rsid w:val="00B82CFD"/>
    <w:rsid w:val="00B937D7"/>
    <w:rsid w:val="00B96B67"/>
    <w:rsid w:val="00B96BF3"/>
    <w:rsid w:val="00BA220E"/>
    <w:rsid w:val="00BC57EF"/>
    <w:rsid w:val="00BC69DB"/>
    <w:rsid w:val="00BE184E"/>
    <w:rsid w:val="00BE6B6B"/>
    <w:rsid w:val="00BF25F9"/>
    <w:rsid w:val="00C10790"/>
    <w:rsid w:val="00C13FD5"/>
    <w:rsid w:val="00C15633"/>
    <w:rsid w:val="00C15799"/>
    <w:rsid w:val="00C32E84"/>
    <w:rsid w:val="00C35415"/>
    <w:rsid w:val="00C357AD"/>
    <w:rsid w:val="00C36A60"/>
    <w:rsid w:val="00C51C5F"/>
    <w:rsid w:val="00C554CC"/>
    <w:rsid w:val="00C6069C"/>
    <w:rsid w:val="00C70477"/>
    <w:rsid w:val="00C70C98"/>
    <w:rsid w:val="00C73A14"/>
    <w:rsid w:val="00C744CC"/>
    <w:rsid w:val="00C74745"/>
    <w:rsid w:val="00C85119"/>
    <w:rsid w:val="00C95C48"/>
    <w:rsid w:val="00CB0024"/>
    <w:rsid w:val="00CB21D6"/>
    <w:rsid w:val="00CD170C"/>
    <w:rsid w:val="00CD320B"/>
    <w:rsid w:val="00CD3F37"/>
    <w:rsid w:val="00CD5431"/>
    <w:rsid w:val="00CE4B93"/>
    <w:rsid w:val="00CF2491"/>
    <w:rsid w:val="00CF3963"/>
    <w:rsid w:val="00D1252E"/>
    <w:rsid w:val="00D13D9D"/>
    <w:rsid w:val="00D416A3"/>
    <w:rsid w:val="00D459A2"/>
    <w:rsid w:val="00D530FF"/>
    <w:rsid w:val="00D53688"/>
    <w:rsid w:val="00D5407A"/>
    <w:rsid w:val="00D57772"/>
    <w:rsid w:val="00D72AE3"/>
    <w:rsid w:val="00D7386D"/>
    <w:rsid w:val="00D7393A"/>
    <w:rsid w:val="00D75A4D"/>
    <w:rsid w:val="00D8197A"/>
    <w:rsid w:val="00D8478B"/>
    <w:rsid w:val="00D86151"/>
    <w:rsid w:val="00D9172D"/>
    <w:rsid w:val="00D9755C"/>
    <w:rsid w:val="00D97E84"/>
    <w:rsid w:val="00DA18B4"/>
    <w:rsid w:val="00DA5641"/>
    <w:rsid w:val="00DA7595"/>
    <w:rsid w:val="00DB04A6"/>
    <w:rsid w:val="00DB0A68"/>
    <w:rsid w:val="00DC1EAD"/>
    <w:rsid w:val="00DC43A3"/>
    <w:rsid w:val="00DC4CF3"/>
    <w:rsid w:val="00DC5C01"/>
    <w:rsid w:val="00DD7C09"/>
    <w:rsid w:val="00DF0EB4"/>
    <w:rsid w:val="00DF4847"/>
    <w:rsid w:val="00E0124F"/>
    <w:rsid w:val="00E1283A"/>
    <w:rsid w:val="00E34CDB"/>
    <w:rsid w:val="00E5762A"/>
    <w:rsid w:val="00E674D3"/>
    <w:rsid w:val="00E70FD0"/>
    <w:rsid w:val="00E7309D"/>
    <w:rsid w:val="00E76A2A"/>
    <w:rsid w:val="00E77C4B"/>
    <w:rsid w:val="00E9301F"/>
    <w:rsid w:val="00E9690A"/>
    <w:rsid w:val="00E97DC7"/>
    <w:rsid w:val="00EA2051"/>
    <w:rsid w:val="00ED5380"/>
    <w:rsid w:val="00EE7F93"/>
    <w:rsid w:val="00F000EF"/>
    <w:rsid w:val="00F11BCC"/>
    <w:rsid w:val="00F17EEA"/>
    <w:rsid w:val="00F22216"/>
    <w:rsid w:val="00F2504E"/>
    <w:rsid w:val="00F2585B"/>
    <w:rsid w:val="00F30B70"/>
    <w:rsid w:val="00F4053F"/>
    <w:rsid w:val="00F516E7"/>
    <w:rsid w:val="00F5673B"/>
    <w:rsid w:val="00F57BF7"/>
    <w:rsid w:val="00F6263E"/>
    <w:rsid w:val="00F627C2"/>
    <w:rsid w:val="00F81587"/>
    <w:rsid w:val="00F84067"/>
    <w:rsid w:val="00F9333A"/>
    <w:rsid w:val="00F963EB"/>
    <w:rsid w:val="00FA50B4"/>
    <w:rsid w:val="00FB6E83"/>
    <w:rsid w:val="00FC156A"/>
    <w:rsid w:val="00FD5FFA"/>
    <w:rsid w:val="00FD6235"/>
    <w:rsid w:val="00FE13D1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6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ECCHLbold">
    <w:name w:val="ECC HL bold"/>
    <w:basedOn w:val="DefaultParagraphFont"/>
    <w:uiPriority w:val="1"/>
    <w:qFormat/>
    <w:rsid w:val="00363E12"/>
    <w:rPr>
      <w:b/>
      <w:bCs/>
    </w:rPr>
  </w:style>
  <w:style w:type="character" w:customStyle="1" w:styleId="ECCParagraph">
    <w:name w:val="ECC Paragraph"/>
    <w:basedOn w:val="DefaultParagraphFont"/>
    <w:uiPriority w:val="1"/>
    <w:qFormat/>
    <w:rsid w:val="00363E12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ProposalChar">
    <w:name w:val="Proposal Char"/>
    <w:link w:val="Proposal"/>
    <w:qFormat/>
    <w:locked/>
    <w:rsid w:val="00C70C98"/>
    <w:rPr>
      <w:rFonts w:hAnsi="Times New Roman Bold"/>
      <w:b/>
      <w:sz w:val="24"/>
      <w:lang w:val="en-GB"/>
    </w:rPr>
  </w:style>
  <w:style w:type="paragraph" w:customStyle="1" w:styleId="Proposal">
    <w:name w:val="Proposal"/>
    <w:basedOn w:val="Normal"/>
    <w:next w:val="Normal"/>
    <w:link w:val="ProposalChar"/>
    <w:qFormat/>
    <w:rsid w:val="00C70C9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</w:pPr>
    <w:rPr>
      <w:rFonts w:eastAsia="Batang" w:hAnsi="Times New Roman Bold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50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DE2"/>
    <w:rPr>
      <w:rFonts w:ascii="Tahoma" w:eastAsia="BatangChe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64A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40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407A"/>
    <w:rPr>
      <w:rFonts w:eastAsia="BatangChe"/>
    </w:rPr>
  </w:style>
  <w:style w:type="character" w:styleId="FootnoteReference">
    <w:name w:val="footnote reference"/>
    <w:basedOn w:val="DefaultParagraphFont"/>
    <w:semiHidden/>
    <w:unhideWhenUsed/>
    <w:rsid w:val="00D5407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E4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4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4B93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4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4B93"/>
    <w:rPr>
      <w:rFonts w:eastAsia="BatangChe"/>
      <w:b/>
      <w:bCs/>
    </w:rPr>
  </w:style>
  <w:style w:type="character" w:customStyle="1" w:styleId="ECCHLbold">
    <w:name w:val="ECC HL bold"/>
    <w:basedOn w:val="DefaultParagraphFont"/>
    <w:uiPriority w:val="1"/>
    <w:qFormat/>
    <w:rsid w:val="00363E12"/>
    <w:rPr>
      <w:b/>
      <w:bCs/>
    </w:rPr>
  </w:style>
  <w:style w:type="character" w:customStyle="1" w:styleId="ECCParagraph">
    <w:name w:val="ECC Paragraph"/>
    <w:basedOn w:val="DefaultParagraphFont"/>
    <w:uiPriority w:val="1"/>
    <w:qFormat/>
    <w:rsid w:val="00363E12"/>
    <w:rPr>
      <w:rFonts w:ascii="Arial" w:hAnsi="Arial" w:cs="Arial" w:hint="default"/>
      <w:noProof w:val="0"/>
      <w:sz w:val="20"/>
      <w:bdr w:val="none" w:sz="0" w:space="0" w:color="auto" w:frame="1"/>
      <w:lang w:val="en-GB"/>
    </w:rPr>
  </w:style>
  <w:style w:type="character" w:customStyle="1" w:styleId="ProposalChar">
    <w:name w:val="Proposal Char"/>
    <w:link w:val="Proposal"/>
    <w:qFormat/>
    <w:locked/>
    <w:rsid w:val="00C70C98"/>
    <w:rPr>
      <w:rFonts w:hAnsi="Times New Roman Bold"/>
      <w:b/>
      <w:sz w:val="24"/>
      <w:lang w:val="en-GB"/>
    </w:rPr>
  </w:style>
  <w:style w:type="paragraph" w:customStyle="1" w:styleId="Proposal">
    <w:name w:val="Proposal"/>
    <w:basedOn w:val="Normal"/>
    <w:next w:val="Normal"/>
    <w:link w:val="ProposalChar"/>
    <w:qFormat/>
    <w:rsid w:val="00C70C98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</w:pPr>
    <w:rPr>
      <w:rFonts w:eastAsia="Batang" w:hAnsi="Times New Roman Bold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F534-031B-4E94-9B56-9F02F12E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APT</cp:lastModifiedBy>
  <cp:revision>3</cp:revision>
  <cp:lastPrinted>2015-02-02T07:28:00Z</cp:lastPrinted>
  <dcterms:created xsi:type="dcterms:W3CDTF">2019-08-14T17:17:00Z</dcterms:created>
  <dcterms:modified xsi:type="dcterms:W3CDTF">2019-08-14T17:17:00Z</dcterms:modified>
</cp:coreProperties>
</file>