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4F5F76">
              <w:rPr>
                <w:b/>
                <w:bCs/>
                <w:lang w:val="fr-FR"/>
              </w:rPr>
              <w:t>OUT</w:t>
            </w:r>
            <w:r>
              <w:rPr>
                <w:b/>
                <w:bCs/>
                <w:lang w:val="fr-FR"/>
              </w:rPr>
              <w:t>-</w:t>
            </w:r>
            <w:r w:rsidR="001D3DE2">
              <w:rPr>
                <w:b/>
                <w:bCs/>
                <w:lang w:val="fr-FR"/>
              </w:rPr>
              <w:t>38</w:t>
            </w:r>
          </w:p>
          <w:p w:rsidR="00C516C7" w:rsidRDefault="00C516C7" w:rsidP="00194A2D">
            <w:pPr>
              <w:spacing w:line="0" w:lineRule="atLeast"/>
              <w:rPr>
                <w:b/>
              </w:rPr>
            </w:pP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4F5F76" w:rsidP="004F5F76">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DB5D9B" w:rsidRDefault="00DB5D9B" w:rsidP="0072518B">
      <w:pPr>
        <w:jc w:val="center"/>
        <w:rPr>
          <w:lang w:val="en-NZ"/>
        </w:rPr>
      </w:pPr>
    </w:p>
    <w:p w:rsidR="00B64A60" w:rsidRDefault="001D3DE2" w:rsidP="00E72023">
      <w:pPr>
        <w:jc w:val="center"/>
        <w:rPr>
          <w:lang w:val="en-NZ" w:eastAsia="ko-KR"/>
        </w:rPr>
      </w:pPr>
      <w:r>
        <w:rPr>
          <w:lang w:val="en-NZ" w:eastAsia="ko-KR"/>
        </w:rPr>
        <w:t>Working Party 2</w:t>
      </w:r>
    </w:p>
    <w:p w:rsidR="00DB5D9B" w:rsidRPr="002A0111" w:rsidRDefault="00DB5D9B" w:rsidP="00E72023">
      <w:pPr>
        <w:jc w:val="center"/>
        <w:rPr>
          <w:bCs/>
          <w:caps/>
          <w:lang w:val="en-NZ"/>
        </w:rPr>
      </w:pPr>
    </w:p>
    <w:p w:rsidR="009465A6" w:rsidRDefault="009465A6" w:rsidP="00E72023">
      <w:pPr>
        <w:jc w:val="center"/>
        <w:rPr>
          <w:b/>
          <w:bCs/>
          <w:caps/>
          <w:lang w:val="en-NZ"/>
        </w:rPr>
      </w:pPr>
      <w:r>
        <w:rPr>
          <w:b/>
          <w:bCs/>
          <w:caps/>
          <w:lang w:val="en-NZ"/>
        </w:rPr>
        <w:t xml:space="preserve">APT VIEW </w:t>
      </w:r>
      <w:r w:rsidR="00DB5D9B">
        <w:rPr>
          <w:b/>
          <w:bCs/>
          <w:caps/>
          <w:lang w:val="en-NZ"/>
        </w:rPr>
        <w:t>and</w:t>
      </w:r>
      <w:r w:rsidR="000F7D6C">
        <w:rPr>
          <w:b/>
          <w:bCs/>
          <w:caps/>
          <w:lang w:val="en-NZ"/>
        </w:rPr>
        <w:t xml:space="preserve"> </w:t>
      </w:r>
      <w:r w:rsidR="005811B6">
        <w:rPr>
          <w:b/>
          <w:bCs/>
          <w:caps/>
          <w:lang w:val="en-NZ"/>
        </w:rPr>
        <w:t>PRELIMINARY APT COMMON PROPOSAL</w:t>
      </w:r>
      <w:r w:rsidR="00C516C7">
        <w:rPr>
          <w:b/>
          <w:bCs/>
          <w:caps/>
          <w:lang w:val="en-NZ"/>
        </w:rPr>
        <w:t xml:space="preserve"> </w:t>
      </w:r>
    </w:p>
    <w:p w:rsidR="00B64A60" w:rsidRPr="00441526" w:rsidRDefault="001F3CDA" w:rsidP="00E72023">
      <w:pPr>
        <w:jc w:val="center"/>
        <w:rPr>
          <w:b/>
          <w:bCs/>
          <w:caps/>
          <w:lang w:val="en-NZ"/>
        </w:rPr>
      </w:pPr>
      <w:r>
        <w:rPr>
          <w:b/>
          <w:bCs/>
          <w:caps/>
          <w:lang w:val="en-NZ"/>
        </w:rPr>
        <w:t>on WRC-19 agenda item 9.1 (ISSUES 9.1.8)</w:t>
      </w:r>
    </w:p>
    <w:p w:rsidR="00B64A60" w:rsidRDefault="00B64A60" w:rsidP="00E72023">
      <w:pPr>
        <w:rPr>
          <w:lang w:val="en-NZ"/>
        </w:rPr>
      </w:pPr>
    </w:p>
    <w:p w:rsidR="00E72023" w:rsidRPr="00441526" w:rsidRDefault="00E72023" w:rsidP="00E72023">
      <w:pPr>
        <w:rPr>
          <w:lang w:val="en-NZ"/>
        </w:rPr>
      </w:pPr>
    </w:p>
    <w:p w:rsidR="002A0111" w:rsidRPr="00441526" w:rsidRDefault="001F3CDA" w:rsidP="00E72023">
      <w:pPr>
        <w:jc w:val="both"/>
        <w:rPr>
          <w:lang w:val="en-NZ"/>
        </w:rPr>
      </w:pPr>
      <w:r>
        <w:rPr>
          <w:b/>
          <w:lang w:val="en-NZ"/>
        </w:rPr>
        <w:t>Agenda Item 9.1 (Issues 9.1.8)</w:t>
      </w:r>
      <w:r w:rsidR="002A0111" w:rsidRPr="00441526">
        <w:rPr>
          <w:b/>
          <w:lang w:val="en-NZ"/>
        </w:rPr>
        <w:t xml:space="preserve">: </w:t>
      </w:r>
    </w:p>
    <w:p w:rsidR="001F3CDA" w:rsidRDefault="001F3CDA" w:rsidP="00E72023">
      <w:pPr>
        <w:pStyle w:val="NormalWeb"/>
        <w:overflowPunct w:val="0"/>
        <w:spacing w:before="0" w:beforeAutospacing="0" w:after="0" w:afterAutospacing="0"/>
        <w:rPr>
          <w:b/>
          <w:bCs/>
          <w:kern w:val="24"/>
          <w:lang w:val="en-GB"/>
        </w:rPr>
      </w:pPr>
    </w:p>
    <w:p w:rsidR="001F3CDA" w:rsidRPr="00BF2577" w:rsidRDefault="001F3CDA" w:rsidP="00E72023">
      <w:pPr>
        <w:pStyle w:val="NormalWeb"/>
        <w:overflowPunct w:val="0"/>
        <w:spacing w:before="0" w:beforeAutospacing="0" w:after="0" w:afterAutospacing="0"/>
      </w:pPr>
      <w:r w:rsidRPr="00BF2577">
        <w:rPr>
          <w:bCs/>
          <w:kern w:val="24"/>
          <w:lang w:val="en-GB"/>
        </w:rPr>
        <w:t>Issue 3) in the Annex to Resolution 958</w:t>
      </w:r>
      <w:r w:rsidRPr="00BF2577">
        <w:rPr>
          <w:bCs/>
          <w:color w:val="000000"/>
          <w:kern w:val="24"/>
          <w:lang w:val="en-GB"/>
        </w:rPr>
        <w:t xml:space="preserve"> (WRC-15)</w:t>
      </w:r>
    </w:p>
    <w:p w:rsidR="001F3CDA" w:rsidRDefault="001F3CDA" w:rsidP="00E72023">
      <w:pPr>
        <w:rPr>
          <w:i/>
          <w:iCs/>
        </w:rPr>
      </w:pPr>
    </w:p>
    <w:p w:rsidR="001F3CDA" w:rsidRPr="00265951" w:rsidRDefault="001F3CDA" w:rsidP="00E72023">
      <w:pPr>
        <w:rPr>
          <w:i/>
          <w:iCs/>
        </w:rPr>
      </w:pPr>
      <w:r w:rsidRPr="00265951">
        <w:rPr>
          <w:i/>
          <w:iCs/>
        </w:rPr>
        <w:t xml:space="preserve">Urgent studies required in preparation for the 2019 World Radiocommunication Conference </w:t>
      </w:r>
    </w:p>
    <w:p w:rsidR="001F3CDA" w:rsidRDefault="001F3CDA" w:rsidP="00E72023">
      <w:pPr>
        <w:jc w:val="both"/>
        <w:rPr>
          <w:i/>
          <w:iCs/>
        </w:rPr>
      </w:pPr>
    </w:p>
    <w:p w:rsidR="002A0111" w:rsidRPr="00441526" w:rsidRDefault="001F3CDA" w:rsidP="00E72023">
      <w:pPr>
        <w:jc w:val="both"/>
        <w:rPr>
          <w:i/>
          <w:lang w:val="en-NZ"/>
        </w:rPr>
      </w:pPr>
      <w:r w:rsidRPr="00265951">
        <w:rPr>
          <w:i/>
          <w:iCs/>
        </w:rPr>
        <w:t>3)</w:t>
      </w:r>
      <w:r w:rsidRPr="00265951">
        <w:rPr>
          <w:i/>
          <w:iCs/>
        </w:rPr>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2A0111" w:rsidRPr="00441526" w:rsidRDefault="002A0111" w:rsidP="00E72023">
      <w:pPr>
        <w:jc w:val="both"/>
        <w:rPr>
          <w:lang w:val="en-NZ"/>
        </w:rPr>
      </w:pPr>
    </w:p>
    <w:p w:rsidR="002A0111" w:rsidRPr="00441526" w:rsidRDefault="002A0111" w:rsidP="00E72023">
      <w:pPr>
        <w:jc w:val="both"/>
        <w:rPr>
          <w:b/>
          <w:lang w:val="en-NZ" w:eastAsia="ko-KR"/>
        </w:rPr>
      </w:pPr>
      <w:r w:rsidRPr="00441526">
        <w:rPr>
          <w:b/>
          <w:lang w:val="en-NZ" w:eastAsia="ko-KR"/>
        </w:rPr>
        <w:t xml:space="preserve">1. </w:t>
      </w:r>
      <w:r w:rsidRPr="00441526">
        <w:rPr>
          <w:b/>
          <w:lang w:val="en-NZ" w:eastAsia="ko-KR"/>
        </w:rPr>
        <w:tab/>
        <w:t>Background</w:t>
      </w:r>
    </w:p>
    <w:p w:rsidR="00E72023" w:rsidRDefault="00E72023" w:rsidP="00E72023">
      <w:pPr>
        <w:jc w:val="both"/>
        <w:rPr>
          <w:iCs/>
        </w:rPr>
      </w:pPr>
    </w:p>
    <w:p w:rsidR="00FD375D" w:rsidRPr="0042498F" w:rsidRDefault="00FD375D" w:rsidP="00E72023">
      <w:pPr>
        <w:jc w:val="both"/>
      </w:pPr>
      <w:r w:rsidRPr="0042498F">
        <w:rPr>
          <w:iCs/>
        </w:rPr>
        <w:t xml:space="preserve">WRC-15 decided that urgent studies should be carried out “to support the implementation of narrowband and broadband machine-type communication infrastructures” under </w:t>
      </w:r>
      <w:r w:rsidRPr="0042498F">
        <w:t xml:space="preserve">WRC-19 agenda item 9.1, </w:t>
      </w:r>
      <w:r w:rsidRPr="0042498F">
        <w:rPr>
          <w:iCs/>
        </w:rPr>
        <w:t xml:space="preserve">issue 9.1.8, and that </w:t>
      </w:r>
      <w:r w:rsidRPr="0042498F">
        <w:t>the Director of the Radiocommunication Bureau reports on these studies under agenda item 9.1 of WRC-19, based on the results of studies, as appropriate</w:t>
      </w:r>
      <w:r w:rsidRPr="0042498F">
        <w:rPr>
          <w:iCs/>
        </w:rPr>
        <w:t>. This was decided t</w:t>
      </w:r>
      <w:r w:rsidRPr="0042498F">
        <w:t>aking into account the rapid growth expected for MTC and the advantages of wireless technologies instead of cabling</w:t>
      </w:r>
      <w:r w:rsidRPr="0042498F">
        <w:rPr>
          <w:iCs/>
        </w:rPr>
        <w:t>,</w:t>
      </w:r>
      <w:r w:rsidRPr="0042498F">
        <w:t xml:space="preserve"> </w:t>
      </w:r>
      <w:r w:rsidRPr="0042498F">
        <w:rPr>
          <w:iCs/>
        </w:rPr>
        <w:t xml:space="preserve">for instance: </w:t>
      </w:r>
      <w:r w:rsidRPr="0042498F">
        <w:t>reduced complexity of installation, no damage to cables, increased machine deployment, mobility and flexibility</w:t>
      </w:r>
      <w:r w:rsidRPr="0042498F">
        <w:rPr>
          <w:iCs/>
        </w:rPr>
        <w:t>.</w:t>
      </w:r>
    </w:p>
    <w:p w:rsidR="00FD375D" w:rsidRDefault="00FD375D" w:rsidP="00E72023">
      <w:pPr>
        <w:jc w:val="both"/>
      </w:pPr>
    </w:p>
    <w:p w:rsidR="00FD375D" w:rsidRDefault="00FD375D" w:rsidP="00E72023">
      <w:pPr>
        <w:jc w:val="both"/>
      </w:pPr>
      <w:r w:rsidRPr="0042498F">
        <w:t>There are ITU-R Resolutions such as Resolution ITU-R 54-2 “Studies to achieve harmonization for short-range devices” and Resolution ITU</w:t>
      </w:r>
      <w:r w:rsidRPr="0042498F">
        <w:noBreakHyphen/>
        <w:t xml:space="preserve">R 66 “Studies related to wireless systems and applications for the development of the Internet of Things”. Furthermore, Resolution ITU-R 66 recognizes “that </w:t>
      </w:r>
      <w:proofErr w:type="spellStart"/>
      <w:r w:rsidRPr="0042498F">
        <w:t>IoT</w:t>
      </w:r>
      <w:proofErr w:type="spellEnd"/>
      <w:r w:rsidRPr="0042498F">
        <w:t xml:space="preserve"> is a concept encompassing various platforms, applications, and technologies that are, and will continue to be, implemented under a number of radiocommunication services”. In accordance with Resolution ITU-R 66, the ITU-R developed </w:t>
      </w:r>
      <w:r w:rsidRPr="0042498F">
        <w:rPr>
          <w:lang w:eastAsia="zh-CN"/>
        </w:rPr>
        <w:t>Report ITU-R SM.2423</w:t>
      </w:r>
      <w:r w:rsidRPr="0042498F">
        <w:t>.</w:t>
      </w:r>
    </w:p>
    <w:p w:rsidR="00FD375D" w:rsidRDefault="00FD375D" w:rsidP="00E72023">
      <w:pPr>
        <w:jc w:val="both"/>
      </w:pPr>
    </w:p>
    <w:p w:rsidR="00FD375D" w:rsidRPr="0042498F" w:rsidRDefault="00AD771E" w:rsidP="00E72023">
      <w:pPr>
        <w:jc w:val="both"/>
      </w:pPr>
      <w:r w:rsidRPr="00AD771E">
        <w:t xml:space="preserve">In February 2019, ITU has finalized CPM Report for this Agenda Item, as contained in </w:t>
      </w:r>
      <w:hyperlink r:id="rId10" w:history="1">
        <w:r w:rsidRPr="00AD771E">
          <w:rPr>
            <w:rStyle w:val="Hyperlink"/>
          </w:rPr>
          <w:t>Report of the CPM to WRC-19</w:t>
        </w:r>
      </w:hyperlink>
      <w:r w:rsidRPr="00AD771E">
        <w:t>.</w:t>
      </w:r>
      <w:r>
        <w:t xml:space="preserve"> It concluded that t</w:t>
      </w:r>
      <w:r w:rsidR="00FD375D" w:rsidRPr="0042498F">
        <w:t>he results of ITU-R studies of the current and future spectrum use for narrowband and broadband MTC performed, as expressed in Resolution </w:t>
      </w:r>
      <w:r w:rsidR="00FD375D" w:rsidRPr="0042498F">
        <w:rPr>
          <w:b/>
          <w:bCs/>
        </w:rPr>
        <w:t>958 (WRC-15)</w:t>
      </w:r>
      <w:r w:rsidR="00FD375D" w:rsidRPr="0042498F">
        <w:t>, concluded that there is no need for any regulatory action in the Radio Regulations with regard to specific spectrum intended for use by those applications. Nonetheless, there are other mechanisms</w:t>
      </w:r>
      <w:r w:rsidR="00FD375D" w:rsidRPr="0042498F">
        <w:rPr>
          <w:iCs/>
        </w:rPr>
        <w:t>,</w:t>
      </w:r>
      <w:r w:rsidR="00FD375D" w:rsidRPr="0042498F">
        <w:t xml:space="preserve"> which could facilitate the harmonized use of spectrum to support the implementation of narrowband and broadband MTC infrastructures</w:t>
      </w:r>
      <w:r w:rsidR="00FD375D" w:rsidRPr="0042498F">
        <w:rPr>
          <w:iCs/>
        </w:rPr>
        <w:t>,</w:t>
      </w:r>
      <w:r w:rsidR="00FD375D" w:rsidRPr="0042498F">
        <w:t xml:space="preserve"> including ITU-R Recommendations or Reports.</w:t>
      </w:r>
    </w:p>
    <w:p w:rsidR="00FD375D" w:rsidRPr="0042498F" w:rsidRDefault="00FD375D" w:rsidP="00E72023"/>
    <w:p w:rsidR="001F3CDA" w:rsidRDefault="001F3CDA" w:rsidP="00E72023">
      <w:pPr>
        <w:jc w:val="both"/>
        <w:rPr>
          <w:i/>
          <w:u w:val="single"/>
          <w:lang w:val="en-NZ"/>
        </w:rPr>
      </w:pPr>
    </w:p>
    <w:p w:rsidR="001F3CDA" w:rsidRDefault="001F3CDA" w:rsidP="00E72023">
      <w:pPr>
        <w:jc w:val="both"/>
        <w:rPr>
          <w:i/>
          <w:u w:val="single"/>
          <w:lang w:val="en-NZ"/>
        </w:rPr>
      </w:pPr>
    </w:p>
    <w:p w:rsidR="002A0111" w:rsidRDefault="002A0111" w:rsidP="00E72023">
      <w:pPr>
        <w:jc w:val="both"/>
        <w:rPr>
          <w:b/>
          <w:lang w:val="en-NZ" w:eastAsia="ko-KR"/>
        </w:rPr>
      </w:pPr>
      <w:r w:rsidRPr="00441526">
        <w:rPr>
          <w:b/>
          <w:lang w:val="en-NZ" w:eastAsia="ko-KR"/>
        </w:rPr>
        <w:t xml:space="preserve">2. </w:t>
      </w:r>
      <w:r w:rsidRPr="00441526">
        <w:rPr>
          <w:b/>
          <w:lang w:val="en-NZ" w:eastAsia="ko-KR"/>
        </w:rPr>
        <w:tab/>
        <w:t>Documents</w:t>
      </w:r>
    </w:p>
    <w:p w:rsidR="00E72023" w:rsidRPr="00441526" w:rsidRDefault="00E72023" w:rsidP="00E72023">
      <w:pPr>
        <w:jc w:val="both"/>
        <w:rPr>
          <w:b/>
          <w:lang w:val="en-NZ" w:eastAsia="ko-KR"/>
        </w:rPr>
      </w:pPr>
    </w:p>
    <w:p w:rsidR="007F4115" w:rsidRPr="00E72023" w:rsidRDefault="007F4115" w:rsidP="00E72023">
      <w:pPr>
        <w:numPr>
          <w:ilvl w:val="2"/>
          <w:numId w:val="18"/>
        </w:numPr>
        <w:jc w:val="both"/>
        <w:rPr>
          <w:lang w:val="en-NZ"/>
        </w:rPr>
      </w:pPr>
      <w:r w:rsidRPr="00441526">
        <w:rPr>
          <w:lang w:val="en-NZ"/>
        </w:rPr>
        <w:t xml:space="preserve">Input Documents </w:t>
      </w:r>
      <w:r w:rsidRPr="000931D4">
        <w:rPr>
          <w:rFonts w:hint="eastAsia"/>
          <w:lang w:eastAsia="ko-KR"/>
        </w:rPr>
        <w:t>APG1</w:t>
      </w:r>
      <w:r w:rsidRPr="004324AE">
        <w:rPr>
          <w:rFonts w:eastAsiaTheme="minorEastAsia" w:hint="eastAsia"/>
          <w:lang w:eastAsia="ko-KR"/>
        </w:rPr>
        <w:t>9</w:t>
      </w:r>
      <w:r w:rsidRPr="000931D4">
        <w:rPr>
          <w:rFonts w:hint="eastAsia"/>
          <w:lang w:eastAsia="ko-KR"/>
        </w:rPr>
        <w:t>-</w:t>
      </w:r>
      <w:r w:rsidRPr="004324AE">
        <w:rPr>
          <w:rFonts w:eastAsiaTheme="minorEastAsia"/>
          <w:lang w:eastAsia="ko-KR"/>
        </w:rPr>
        <w:t>5</w:t>
      </w:r>
      <w:r w:rsidRPr="000931D4">
        <w:rPr>
          <w:rFonts w:hint="eastAsia"/>
          <w:lang w:eastAsia="ko-KR"/>
        </w:rPr>
        <w:t>/</w:t>
      </w:r>
      <w:r>
        <w:rPr>
          <w:lang w:eastAsia="ko-KR"/>
        </w:rPr>
        <w:t>INP-17</w:t>
      </w:r>
      <w:r w:rsidRPr="000931D4">
        <w:rPr>
          <w:lang w:eastAsia="ko-KR"/>
        </w:rPr>
        <w:t xml:space="preserve"> (</w:t>
      </w:r>
      <w:r>
        <w:rPr>
          <w:lang w:eastAsia="ko-KR"/>
        </w:rPr>
        <w:t>NZ</w:t>
      </w:r>
      <w:r w:rsidR="00476443">
        <w:rPr>
          <w:lang w:eastAsia="ko-KR"/>
        </w:rPr>
        <w:t>L</w:t>
      </w:r>
      <w:r>
        <w:rPr>
          <w:lang w:eastAsia="ko-KR"/>
        </w:rPr>
        <w:t>), 37</w:t>
      </w:r>
      <w:r w:rsidRPr="000931D4">
        <w:rPr>
          <w:lang w:eastAsia="ko-KR"/>
        </w:rPr>
        <w:t xml:space="preserve"> (</w:t>
      </w:r>
      <w:r>
        <w:rPr>
          <w:lang w:eastAsia="ko-KR"/>
        </w:rPr>
        <w:t>IRN), 43 (AUS), 50 (INS), 80 (J), 103 (MLA, SNG, THA)</w:t>
      </w:r>
      <w:r w:rsidR="00476443">
        <w:rPr>
          <w:lang w:eastAsia="ko-KR"/>
        </w:rPr>
        <w:t>, 128 (KOR)</w:t>
      </w:r>
    </w:p>
    <w:p w:rsidR="00E72023" w:rsidRPr="00441526" w:rsidRDefault="00E72023" w:rsidP="00E72023">
      <w:pPr>
        <w:ind w:left="1120"/>
        <w:jc w:val="both"/>
        <w:rPr>
          <w:lang w:val="en-NZ"/>
        </w:rPr>
      </w:pPr>
    </w:p>
    <w:p w:rsidR="007F4115" w:rsidRPr="007F4115" w:rsidRDefault="007F4115" w:rsidP="00E72023">
      <w:pPr>
        <w:pStyle w:val="ListParagraph"/>
        <w:numPr>
          <w:ilvl w:val="2"/>
          <w:numId w:val="18"/>
        </w:numPr>
        <w:jc w:val="both"/>
        <w:rPr>
          <w:lang w:val="en-NZ"/>
        </w:rPr>
      </w:pPr>
      <w:r w:rsidRPr="007F4115">
        <w:rPr>
          <w:lang w:val="en-NZ"/>
        </w:rPr>
        <w:t>Information Documents APG19-5/INF-03 (IARU),</w:t>
      </w:r>
      <w:r w:rsidR="00476443">
        <w:rPr>
          <w:lang w:val="en-NZ"/>
        </w:rPr>
        <w:t xml:space="preserve"> 18 (CEPT),</w:t>
      </w:r>
      <w:r w:rsidR="00FD5249">
        <w:rPr>
          <w:lang w:val="en-NZ"/>
        </w:rPr>
        <w:t xml:space="preserve"> 19 (ATU),</w:t>
      </w:r>
      <w:r w:rsidRPr="007F4115">
        <w:rPr>
          <w:lang w:val="en-NZ"/>
        </w:rPr>
        <w:t xml:space="preserve"> 22 (RCC)</w:t>
      </w:r>
    </w:p>
    <w:p w:rsidR="002A0111" w:rsidRDefault="002A0111" w:rsidP="00E72023">
      <w:pPr>
        <w:rPr>
          <w:b/>
          <w:lang w:val="en-NZ" w:eastAsia="ko-KR"/>
        </w:rPr>
      </w:pPr>
    </w:p>
    <w:p w:rsidR="002A0111" w:rsidRDefault="002A0111" w:rsidP="00E72023">
      <w:pPr>
        <w:rPr>
          <w:b/>
          <w:lang w:val="en-NZ" w:eastAsia="ko-KR"/>
        </w:rPr>
      </w:pPr>
      <w:r w:rsidRPr="00441526">
        <w:rPr>
          <w:b/>
          <w:lang w:val="en-NZ" w:eastAsia="ko-KR"/>
        </w:rPr>
        <w:t xml:space="preserve">3. </w:t>
      </w:r>
      <w:r w:rsidRPr="00441526">
        <w:rPr>
          <w:b/>
          <w:lang w:val="en-NZ" w:eastAsia="ko-KR"/>
        </w:rPr>
        <w:tab/>
        <w:t>Summary of discussions</w:t>
      </w:r>
    </w:p>
    <w:p w:rsidR="00E72023" w:rsidRPr="00441526" w:rsidRDefault="00E72023" w:rsidP="00E72023">
      <w:pPr>
        <w:rPr>
          <w:b/>
          <w:lang w:val="en-NZ" w:eastAsia="ko-KR"/>
        </w:rPr>
      </w:pPr>
    </w:p>
    <w:p w:rsidR="00E72023" w:rsidRDefault="002A0111" w:rsidP="00E72023">
      <w:pPr>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E72023" w:rsidRPr="00E72023" w:rsidRDefault="00E72023" w:rsidP="00E72023">
      <w:pPr>
        <w:jc w:val="both"/>
        <w:rPr>
          <w:b/>
          <w:lang w:val="en-NZ" w:eastAsia="ko-KR"/>
        </w:rPr>
      </w:pPr>
    </w:p>
    <w:p w:rsidR="002A0111" w:rsidRDefault="002A0111" w:rsidP="00E72023">
      <w:pPr>
        <w:jc w:val="both"/>
        <w:rPr>
          <w:b/>
          <w:lang w:val="en-NZ" w:eastAsia="ko-KR"/>
        </w:rPr>
      </w:pPr>
      <w:r w:rsidRPr="00441526">
        <w:rPr>
          <w:b/>
          <w:lang w:val="en-NZ" w:eastAsia="ko-KR"/>
        </w:rPr>
        <w:t xml:space="preserve">3.1.1 </w:t>
      </w:r>
      <w:r w:rsidRPr="00441526">
        <w:rPr>
          <w:b/>
          <w:lang w:val="en-NZ" w:eastAsia="ko-KR"/>
        </w:rPr>
        <w:tab/>
      </w:r>
      <w:r w:rsidR="007B7F4C">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00FD375D">
        <w:rPr>
          <w:b/>
          <w:lang w:val="en-NZ" w:eastAsia="ko-KR"/>
        </w:rPr>
        <w:t>/INP-17</w:t>
      </w:r>
    </w:p>
    <w:p w:rsidR="002A459C" w:rsidRPr="00441526" w:rsidRDefault="002A459C" w:rsidP="00E72023">
      <w:pPr>
        <w:jc w:val="both"/>
        <w:rPr>
          <w:b/>
          <w:lang w:val="en-NZ" w:eastAsia="ko-KR"/>
        </w:rPr>
      </w:pPr>
    </w:p>
    <w:p w:rsidR="004F477A" w:rsidRPr="00441526" w:rsidRDefault="001F3CDA" w:rsidP="00E72023">
      <w:pPr>
        <w:tabs>
          <w:tab w:val="left" w:pos="600"/>
        </w:tabs>
        <w:ind w:left="720"/>
        <w:jc w:val="both"/>
        <w:rPr>
          <w:lang w:val="en-NZ"/>
        </w:rPr>
      </w:pPr>
      <w:r w:rsidRPr="00D9340E">
        <w:rPr>
          <w:lang w:val="en-NZ"/>
        </w:rPr>
        <w:t>New Zealand</w:t>
      </w:r>
      <w:r w:rsidRPr="00D2642E">
        <w:t xml:space="preserve"> </w:t>
      </w:r>
      <w:r w:rsidRPr="00D2642E">
        <w:rPr>
          <w:lang w:val="en-NZ"/>
        </w:rPr>
        <w:t>supports no change to the Radio Regulations</w:t>
      </w:r>
      <w:r>
        <w:rPr>
          <w:lang w:val="en-NZ"/>
        </w:rPr>
        <w:t>. New Zealand</w:t>
      </w:r>
      <w:r w:rsidRPr="00D9340E">
        <w:rPr>
          <w:lang w:val="en-NZ"/>
        </w:rPr>
        <w:t xml:space="preserve"> is of the view that there is no need to identify dedicated spectrum for Internet of Things (</w:t>
      </w:r>
      <w:proofErr w:type="spellStart"/>
      <w:r w:rsidRPr="00D9340E">
        <w:rPr>
          <w:lang w:val="en-NZ"/>
        </w:rPr>
        <w:t>IoT</w:t>
      </w:r>
      <w:proofErr w:type="spellEnd"/>
      <w:r w:rsidRPr="00D9340E">
        <w:rPr>
          <w:lang w:val="en-NZ"/>
        </w:rPr>
        <w:t xml:space="preserve">) or Machine-type communication (MTC) in the Radio Regulations. </w:t>
      </w:r>
      <w:proofErr w:type="spellStart"/>
      <w:r w:rsidRPr="00D9340E">
        <w:rPr>
          <w:lang w:val="en-NZ"/>
        </w:rPr>
        <w:t>IoT</w:t>
      </w:r>
      <w:proofErr w:type="spellEnd"/>
      <w:r w:rsidRPr="00D9340E">
        <w:rPr>
          <w:lang w:val="en-NZ"/>
        </w:rPr>
        <w:t>/MTC could be deployed in frequency bands already allocated to Mobile Service, or already identified for IMT use. Such applications can be clarified through development of appropriate ITU-R Recommendations, Reports and/or Handbooks.</w:t>
      </w:r>
    </w:p>
    <w:p w:rsidR="002A0111" w:rsidRPr="00441526" w:rsidRDefault="002A0111" w:rsidP="00E72023">
      <w:pPr>
        <w:jc w:val="both"/>
        <w:rPr>
          <w:lang w:val="en-NZ"/>
        </w:rPr>
      </w:pPr>
    </w:p>
    <w:p w:rsidR="001F3CDA" w:rsidRDefault="007B7F4C" w:rsidP="00E72023">
      <w:pPr>
        <w:jc w:val="both"/>
        <w:rPr>
          <w:b/>
          <w:lang w:val="en-NZ" w:eastAsia="ko-KR"/>
        </w:rPr>
      </w:pPr>
      <w:r>
        <w:rPr>
          <w:b/>
          <w:lang w:val="en-NZ" w:eastAsia="ko-KR"/>
        </w:rPr>
        <w:t xml:space="preserve">3.1.2 </w:t>
      </w:r>
      <w:r>
        <w:rPr>
          <w:b/>
          <w:lang w:val="en-NZ" w:eastAsia="ko-KR"/>
        </w:rPr>
        <w:tab/>
        <w:t>Iran</w:t>
      </w:r>
      <w:r w:rsidR="001F3CDA" w:rsidRPr="00441526">
        <w:rPr>
          <w:b/>
          <w:lang w:val="en-NZ" w:eastAsia="ko-KR"/>
        </w:rPr>
        <w:t xml:space="preserve"> </w:t>
      </w:r>
      <w:r w:rsidR="001F3CDA" w:rsidRPr="00441526">
        <w:t xml:space="preserve">- </w:t>
      </w:r>
      <w:r w:rsidR="001F3CDA" w:rsidRPr="00441526">
        <w:rPr>
          <w:b/>
          <w:lang w:val="en-NZ" w:eastAsia="ko-KR"/>
        </w:rPr>
        <w:t>Document APG19-</w:t>
      </w:r>
      <w:r w:rsidR="001F3CDA">
        <w:rPr>
          <w:b/>
          <w:lang w:val="en-NZ" w:eastAsia="ko-KR"/>
        </w:rPr>
        <w:t>5</w:t>
      </w:r>
      <w:r>
        <w:rPr>
          <w:b/>
          <w:lang w:val="en-NZ" w:eastAsia="ko-KR"/>
        </w:rPr>
        <w:t>/INP-37</w:t>
      </w:r>
    </w:p>
    <w:p w:rsidR="002A459C" w:rsidRPr="00441526" w:rsidRDefault="002A459C" w:rsidP="00E72023">
      <w:pPr>
        <w:jc w:val="both"/>
        <w:rPr>
          <w:b/>
          <w:lang w:val="en-NZ" w:eastAsia="ko-KR"/>
        </w:rPr>
      </w:pPr>
    </w:p>
    <w:p w:rsidR="007B7F4C" w:rsidRDefault="007B7F4C" w:rsidP="00E72023">
      <w:pPr>
        <w:autoSpaceDE w:val="0"/>
        <w:autoSpaceDN w:val="0"/>
        <w:adjustRightInd w:val="0"/>
        <w:ind w:left="720"/>
        <w:jc w:val="both"/>
      </w:pPr>
      <w:r>
        <w:rPr>
          <w:rFonts w:ascii="TimesNewRomanPSMT" w:eastAsia="Batang" w:hAnsi="TimesNewRomanPSMT" w:cs="TimesNewRomanPSMT"/>
          <w:lang w:bidi="fa-IR"/>
        </w:rPr>
        <w:t xml:space="preserve">This administration has a view that there is neither need to take any regulatory action in the Radio Regulations </w:t>
      </w:r>
      <w:r w:rsidRPr="00175559">
        <w:rPr>
          <w:rFonts w:ascii="TimesNewRomanPSMT" w:eastAsia="Batang" w:hAnsi="TimesNewRomanPSMT" w:cs="TimesNewRomanPSMT"/>
          <w:lang w:bidi="fa-IR"/>
        </w:rPr>
        <w:t xml:space="preserve">nor </w:t>
      </w:r>
      <w:r>
        <w:rPr>
          <w:rFonts w:ascii="TimesNewRomanPSMT" w:eastAsia="Batang" w:hAnsi="TimesNewRomanPSMT" w:cs="TimesNewRomanPSMT"/>
          <w:lang w:bidi="fa-IR"/>
        </w:rPr>
        <w:t xml:space="preserve">to </w:t>
      </w:r>
      <w:r w:rsidRPr="00175559">
        <w:rPr>
          <w:rFonts w:ascii="TimesNewRomanPSMT" w:eastAsia="Batang" w:hAnsi="TimesNewRomanPSMT" w:cs="TimesNewRomanPSMT"/>
          <w:lang w:bidi="fa-IR"/>
        </w:rPr>
        <w:t xml:space="preserve">make any </w:t>
      </w:r>
      <w:r>
        <w:rPr>
          <w:rFonts w:ascii="TimesNewRomanPSMT" w:eastAsia="Batang" w:hAnsi="TimesNewRomanPSMT" w:cs="TimesNewRomanPSMT"/>
          <w:lang w:bidi="fa-IR"/>
        </w:rPr>
        <w:t xml:space="preserve">specific </w:t>
      </w:r>
      <w:r w:rsidRPr="00175559">
        <w:rPr>
          <w:rFonts w:ascii="TimesNewRomanPSMT" w:eastAsia="Batang" w:hAnsi="TimesNewRomanPSMT" w:cs="TimesNewRomanPSMT"/>
          <w:lang w:bidi="fa-IR"/>
        </w:rPr>
        <w:t>identification of spectrum</w:t>
      </w:r>
      <w:r>
        <w:rPr>
          <w:rFonts w:ascii="TimesNewRomanPSMT" w:eastAsia="Batang" w:hAnsi="TimesNewRomanPSMT" w:cs="TimesNewRomanPSMT"/>
          <w:lang w:bidi="fa-IR"/>
        </w:rPr>
        <w:t xml:space="preserve"> </w:t>
      </w:r>
      <w:r w:rsidRPr="00175559">
        <w:rPr>
          <w:rFonts w:ascii="TimesNewRomanPSMT" w:eastAsia="Batang" w:hAnsi="TimesNewRomanPSMT" w:cs="TimesNewRomanPSMT"/>
          <w:lang w:bidi="fa-IR"/>
        </w:rPr>
        <w:t>to support narrowband and broadband</w:t>
      </w:r>
      <w:r w:rsidRPr="00A067E9">
        <w:rPr>
          <w:lang w:val="en-AU"/>
        </w:rPr>
        <w:t xml:space="preserve"> machine-type communication applications</w:t>
      </w:r>
      <w:r>
        <w:rPr>
          <w:lang w:val="en-AU"/>
        </w:rPr>
        <w:t>.</w:t>
      </w:r>
      <w:r>
        <w:rPr>
          <w:rFonts w:ascii="TimesNewRomanPSMT" w:eastAsia="Batang" w:hAnsi="TimesNewRomanPSMT" w:cs="TimesNewRomanPSMT"/>
          <w:lang w:bidi="fa-IR"/>
        </w:rPr>
        <w:t xml:space="preserve"> This view is i</w:t>
      </w:r>
      <w:r>
        <w:t xml:space="preserve">dentical to APT Preliminary View provided in the Document </w:t>
      </w:r>
      <w:r w:rsidRPr="008A3D63">
        <w:t>APG19-</w:t>
      </w:r>
      <w:r>
        <w:t>4.</w:t>
      </w:r>
    </w:p>
    <w:p w:rsidR="001F3CDA" w:rsidRPr="007B7F4C" w:rsidRDefault="001F3CDA" w:rsidP="00E72023">
      <w:pPr>
        <w:jc w:val="both"/>
        <w:rPr>
          <w:lang w:val="en-NZ"/>
        </w:rPr>
      </w:pPr>
    </w:p>
    <w:p w:rsidR="001F3CDA" w:rsidRDefault="007B7F4C" w:rsidP="00E72023">
      <w:pPr>
        <w:jc w:val="both"/>
        <w:rPr>
          <w:b/>
          <w:lang w:val="en-NZ" w:eastAsia="ko-KR"/>
        </w:rPr>
      </w:pPr>
      <w:r>
        <w:rPr>
          <w:b/>
          <w:lang w:val="en-NZ" w:eastAsia="ko-KR"/>
        </w:rPr>
        <w:t>3.1.3</w:t>
      </w:r>
      <w:r w:rsidR="001F3CDA" w:rsidRPr="00441526">
        <w:rPr>
          <w:b/>
          <w:lang w:val="en-NZ" w:eastAsia="ko-KR"/>
        </w:rPr>
        <w:t xml:space="preserve"> </w:t>
      </w:r>
      <w:r w:rsidR="001F3CDA" w:rsidRPr="00441526">
        <w:rPr>
          <w:b/>
          <w:lang w:val="en-NZ" w:eastAsia="ko-KR"/>
        </w:rPr>
        <w:tab/>
      </w:r>
      <w:r>
        <w:rPr>
          <w:b/>
          <w:lang w:val="en-NZ" w:eastAsia="ko-KR"/>
        </w:rPr>
        <w:t>Australia</w:t>
      </w:r>
      <w:r w:rsidR="001F3CDA" w:rsidRPr="00441526">
        <w:rPr>
          <w:b/>
          <w:lang w:val="en-NZ" w:eastAsia="ko-KR"/>
        </w:rPr>
        <w:t xml:space="preserve"> </w:t>
      </w:r>
      <w:r w:rsidR="001F3CDA" w:rsidRPr="00441526">
        <w:t xml:space="preserve">- </w:t>
      </w:r>
      <w:r w:rsidR="001F3CDA" w:rsidRPr="00441526">
        <w:rPr>
          <w:b/>
          <w:lang w:val="en-NZ" w:eastAsia="ko-KR"/>
        </w:rPr>
        <w:t>Document APG19-</w:t>
      </w:r>
      <w:r w:rsidR="001F3CDA">
        <w:rPr>
          <w:b/>
          <w:lang w:val="en-NZ" w:eastAsia="ko-KR"/>
        </w:rPr>
        <w:t>5</w:t>
      </w:r>
      <w:r>
        <w:rPr>
          <w:b/>
          <w:lang w:val="en-NZ" w:eastAsia="ko-KR"/>
        </w:rPr>
        <w:t>/INP-43</w:t>
      </w:r>
    </w:p>
    <w:p w:rsidR="002A459C" w:rsidRPr="00441526" w:rsidRDefault="002A459C" w:rsidP="00E72023">
      <w:pPr>
        <w:jc w:val="both"/>
        <w:rPr>
          <w:b/>
          <w:lang w:val="en-NZ" w:eastAsia="ko-KR"/>
        </w:rPr>
      </w:pPr>
    </w:p>
    <w:p w:rsidR="007B7F4C" w:rsidRDefault="007B7F4C" w:rsidP="00E72023">
      <w:pPr>
        <w:ind w:left="720"/>
        <w:jc w:val="both"/>
      </w:pPr>
      <w:r>
        <w:t xml:space="preserve">Australia is of the view that there should be no change to the Radio Regulations with respect to specific spectrum for the use of narrowband and broadband machine-type communication applications, consistent </w:t>
      </w:r>
      <w:r w:rsidR="002A459C">
        <w:t>with the CPM Report conclusion.</w:t>
      </w:r>
    </w:p>
    <w:p w:rsidR="002A459C" w:rsidRDefault="002A459C" w:rsidP="00E72023">
      <w:pPr>
        <w:ind w:left="720"/>
        <w:jc w:val="both"/>
      </w:pPr>
    </w:p>
    <w:p w:rsidR="007B7F4C" w:rsidRDefault="007B7F4C" w:rsidP="00E72023">
      <w:pPr>
        <w:ind w:left="720"/>
        <w:jc w:val="both"/>
      </w:pPr>
      <w:r>
        <w:t>Australia supports the development of appropriate ITU-R Recommendations, Reports and/or Handbooks on technical and operational aspects of using different radio networks and systems for the implementation of narrowband and broadband machine-type</w:t>
      </w:r>
      <w:r w:rsidR="002A459C">
        <w:t xml:space="preserve"> communication infrastructures.</w:t>
      </w:r>
    </w:p>
    <w:p w:rsidR="002A459C" w:rsidRDefault="002A459C" w:rsidP="00E72023">
      <w:pPr>
        <w:ind w:left="720"/>
        <w:jc w:val="both"/>
      </w:pPr>
    </w:p>
    <w:p w:rsidR="007B7F4C" w:rsidRDefault="007B7F4C" w:rsidP="00E72023">
      <w:pPr>
        <w:ind w:left="720"/>
        <w:jc w:val="both"/>
      </w:pPr>
      <w:r>
        <w:t>Any future study can be accommodated in the scope of work of the ITU Radiocommunication Sector (ITU-R).</w:t>
      </w:r>
    </w:p>
    <w:p w:rsidR="002A459C" w:rsidRDefault="002A459C" w:rsidP="00E72023">
      <w:pPr>
        <w:ind w:left="720"/>
        <w:jc w:val="both"/>
      </w:pPr>
    </w:p>
    <w:p w:rsidR="007B7F4C" w:rsidRDefault="007B7F4C" w:rsidP="00E72023">
      <w:pPr>
        <w:ind w:left="720"/>
        <w:jc w:val="both"/>
      </w:pPr>
      <w:r>
        <w:t xml:space="preserve">Paragraph 3) of the Annex to Resolution </w:t>
      </w:r>
      <w:r w:rsidRPr="00DF400F">
        <w:rPr>
          <w:b/>
        </w:rPr>
        <w:t>958 (WRC-15)</w:t>
      </w:r>
      <w:r>
        <w:t xml:space="preserve"> can be suppressed.</w:t>
      </w:r>
    </w:p>
    <w:p w:rsidR="002A459C" w:rsidRDefault="002A459C" w:rsidP="00E72023">
      <w:pPr>
        <w:ind w:left="720"/>
        <w:jc w:val="both"/>
      </w:pPr>
    </w:p>
    <w:p w:rsidR="00476443" w:rsidRDefault="00476443" w:rsidP="00E72023">
      <w:pPr>
        <w:ind w:left="720"/>
        <w:jc w:val="both"/>
        <w:rPr>
          <w:rFonts w:eastAsia="Times New Roman"/>
          <w:iCs/>
          <w:szCs w:val="20"/>
          <w:lang w:val="en-AU"/>
        </w:rPr>
      </w:pPr>
      <w:r>
        <w:rPr>
          <w:rFonts w:eastAsia="Times New Roman"/>
          <w:iCs/>
          <w:szCs w:val="20"/>
          <w:lang w:val="en-AU"/>
        </w:rPr>
        <w:t>Australia supports a Preliminary APT Common Proposal to WRC-19 of NOC, as follows:</w:t>
      </w:r>
    </w:p>
    <w:p w:rsidR="0081246C" w:rsidRDefault="0081246C" w:rsidP="00E72023">
      <w:pPr>
        <w:ind w:left="720"/>
        <w:jc w:val="both"/>
        <w:rPr>
          <w:rFonts w:eastAsia="Times New Roman"/>
          <w:iCs/>
          <w:szCs w:val="20"/>
          <w:lang w:val="en-AU"/>
        </w:rPr>
      </w:pPr>
    </w:p>
    <w:bookmarkStart w:id="0" w:name="_MON_1624190192"/>
    <w:bookmarkEnd w:id="0"/>
    <w:p w:rsidR="00476443" w:rsidRDefault="00476443" w:rsidP="00E72023">
      <w:pPr>
        <w:ind w:left="720"/>
        <w:rPr>
          <w:rFonts w:eastAsia="Times New Roman"/>
          <w:iCs/>
          <w:szCs w:val="20"/>
          <w:lang w:val="en-AU"/>
        </w:rPr>
      </w:pPr>
      <w:r>
        <w:rPr>
          <w:rFonts w:eastAsia="Times New Roman"/>
          <w:iCs/>
          <w:szCs w:val="20"/>
          <w:lang w:val="en-AU"/>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12" ShapeID="_x0000_i1025" DrawAspect="Icon" ObjectID="_1626812416" r:id="rId12">
            <o:FieldCodes>\s</o:FieldCodes>
          </o:OLEObject>
        </w:object>
      </w:r>
    </w:p>
    <w:p w:rsidR="00E72023" w:rsidRDefault="00E72023" w:rsidP="00E72023">
      <w:pPr>
        <w:ind w:left="720"/>
        <w:rPr>
          <w:rFonts w:eastAsia="Times New Roman"/>
          <w:iCs/>
          <w:szCs w:val="20"/>
          <w:lang w:val="en-AU"/>
        </w:rPr>
      </w:pPr>
    </w:p>
    <w:p w:rsidR="00E72023" w:rsidRPr="00827AA4" w:rsidRDefault="00E72023" w:rsidP="00E72023">
      <w:pPr>
        <w:ind w:left="720"/>
      </w:pPr>
    </w:p>
    <w:p w:rsidR="001F3CDA" w:rsidRDefault="00403D60" w:rsidP="00E72023">
      <w:pPr>
        <w:jc w:val="both"/>
        <w:rPr>
          <w:b/>
          <w:lang w:val="en-NZ" w:eastAsia="ko-KR"/>
        </w:rPr>
      </w:pPr>
      <w:r>
        <w:rPr>
          <w:b/>
          <w:lang w:val="en-NZ" w:eastAsia="ko-KR"/>
        </w:rPr>
        <w:t>3.1.4</w:t>
      </w:r>
      <w:r w:rsidR="001F3CDA" w:rsidRPr="00441526">
        <w:rPr>
          <w:b/>
          <w:lang w:val="en-NZ" w:eastAsia="ko-KR"/>
        </w:rPr>
        <w:t xml:space="preserve"> </w:t>
      </w:r>
      <w:r w:rsidR="001F3CDA" w:rsidRPr="00441526">
        <w:rPr>
          <w:b/>
          <w:lang w:val="en-NZ" w:eastAsia="ko-KR"/>
        </w:rPr>
        <w:tab/>
      </w:r>
      <w:r>
        <w:rPr>
          <w:b/>
          <w:lang w:val="en-NZ" w:eastAsia="ko-KR"/>
        </w:rPr>
        <w:t>Indonesia</w:t>
      </w:r>
      <w:r w:rsidR="001F3CDA" w:rsidRPr="00441526">
        <w:rPr>
          <w:b/>
          <w:lang w:val="en-NZ" w:eastAsia="ko-KR"/>
        </w:rPr>
        <w:t xml:space="preserve"> </w:t>
      </w:r>
      <w:r w:rsidR="001F3CDA" w:rsidRPr="00441526">
        <w:t xml:space="preserve">- </w:t>
      </w:r>
      <w:r w:rsidR="001F3CDA" w:rsidRPr="00441526">
        <w:rPr>
          <w:b/>
          <w:lang w:val="en-NZ" w:eastAsia="ko-KR"/>
        </w:rPr>
        <w:t>Document APG19-</w:t>
      </w:r>
      <w:r w:rsidR="001F3CDA">
        <w:rPr>
          <w:b/>
          <w:lang w:val="en-NZ" w:eastAsia="ko-KR"/>
        </w:rPr>
        <w:t>5</w:t>
      </w:r>
      <w:r>
        <w:rPr>
          <w:b/>
          <w:lang w:val="en-NZ" w:eastAsia="ko-KR"/>
        </w:rPr>
        <w:t>/INP-50</w:t>
      </w:r>
    </w:p>
    <w:p w:rsidR="002A459C" w:rsidRPr="00441526" w:rsidRDefault="002A459C" w:rsidP="00E72023">
      <w:pPr>
        <w:jc w:val="both"/>
        <w:rPr>
          <w:b/>
          <w:lang w:val="en-NZ" w:eastAsia="ko-KR"/>
        </w:rPr>
      </w:pPr>
    </w:p>
    <w:p w:rsidR="002A459C" w:rsidRDefault="00403D60" w:rsidP="00E72023">
      <w:pPr>
        <w:autoSpaceDE w:val="0"/>
        <w:autoSpaceDN w:val="0"/>
        <w:adjustRightInd w:val="0"/>
        <w:ind w:left="720"/>
        <w:jc w:val="both"/>
        <w:rPr>
          <w:iCs/>
        </w:rPr>
      </w:pPr>
      <w:r>
        <w:t xml:space="preserve">Indonesia is of the view to support the </w:t>
      </w:r>
      <w:r>
        <w:rPr>
          <w:lang w:eastAsia="zh-CN"/>
        </w:rPr>
        <w:t>conclusions in CPM R</w:t>
      </w:r>
      <w:r w:rsidRPr="00D53322">
        <w:rPr>
          <w:lang w:eastAsia="zh-CN"/>
        </w:rPr>
        <w:t>eport that</w:t>
      </w:r>
      <w:r>
        <w:rPr>
          <w:lang w:eastAsia="zh-CN"/>
        </w:rPr>
        <w:t xml:space="preserve"> </w:t>
      </w:r>
      <w:r w:rsidRPr="0042498F">
        <w:rPr>
          <w:iCs/>
        </w:rPr>
        <w:t xml:space="preserve">there is no need </w:t>
      </w:r>
      <w:r w:rsidRPr="0042498F">
        <w:rPr>
          <w:iCs/>
          <w:spacing w:val="-2"/>
        </w:rPr>
        <w:t xml:space="preserve">to take </w:t>
      </w:r>
      <w:r w:rsidRPr="0042498F">
        <w:rPr>
          <w:iCs/>
        </w:rPr>
        <w:t xml:space="preserve">any regulatory action in the Radio Regulations with </w:t>
      </w:r>
      <w:r w:rsidRPr="0042498F">
        <w:rPr>
          <w:iCs/>
          <w:spacing w:val="-2"/>
        </w:rPr>
        <w:t xml:space="preserve">respect </w:t>
      </w:r>
      <w:r w:rsidRPr="0042498F">
        <w:rPr>
          <w:iCs/>
        </w:rPr>
        <w:t xml:space="preserve">to specific spectrum for </w:t>
      </w:r>
      <w:r w:rsidRPr="0042498F">
        <w:rPr>
          <w:iCs/>
          <w:spacing w:val="-2"/>
        </w:rPr>
        <w:t xml:space="preserve">the use of </w:t>
      </w:r>
      <w:r>
        <w:rPr>
          <w:iCs/>
        </w:rPr>
        <w:t xml:space="preserve">narrowband and broadband MTC </w:t>
      </w:r>
      <w:r w:rsidRPr="0042498F">
        <w:rPr>
          <w:iCs/>
        </w:rPr>
        <w:t>applications in the Radio Regulations</w:t>
      </w:r>
      <w:r>
        <w:rPr>
          <w:iCs/>
        </w:rPr>
        <w:t>.</w:t>
      </w:r>
    </w:p>
    <w:p w:rsidR="00403D60" w:rsidRDefault="00403D60" w:rsidP="00E72023">
      <w:pPr>
        <w:autoSpaceDE w:val="0"/>
        <w:autoSpaceDN w:val="0"/>
        <w:adjustRightInd w:val="0"/>
        <w:ind w:left="720"/>
        <w:jc w:val="both"/>
        <w:rPr>
          <w:iCs/>
        </w:rPr>
      </w:pPr>
      <w:r>
        <w:rPr>
          <w:iCs/>
        </w:rPr>
        <w:t xml:space="preserve"> </w:t>
      </w:r>
    </w:p>
    <w:p w:rsidR="001F3CDA" w:rsidRPr="00441526" w:rsidRDefault="00403D60" w:rsidP="00E72023">
      <w:pPr>
        <w:ind w:left="720"/>
        <w:jc w:val="both"/>
        <w:rPr>
          <w:lang w:val="en-NZ"/>
        </w:rPr>
      </w:pPr>
      <w:r>
        <w:rPr>
          <w:iCs/>
        </w:rPr>
        <w:t>T</w:t>
      </w:r>
      <w:r w:rsidRPr="005315CD">
        <w:rPr>
          <w:iCs/>
        </w:rPr>
        <w:t>here m</w:t>
      </w:r>
      <w:r>
        <w:rPr>
          <w:iCs/>
        </w:rPr>
        <w:t xml:space="preserve">ay be other ways to address the </w:t>
      </w:r>
      <w:r w:rsidRPr="005315CD">
        <w:rPr>
          <w:iCs/>
        </w:rPr>
        <w:t>harmonized use of spectrum to support the implementation of narrowband and broadband MTC</w:t>
      </w:r>
      <w:r>
        <w:rPr>
          <w:iCs/>
        </w:rPr>
        <w:t xml:space="preserve">. </w:t>
      </w:r>
      <w:r w:rsidRPr="00094A8C">
        <w:rPr>
          <w:iCs/>
        </w:rPr>
        <w:t>The study of technical and operational aspects including the pote</w:t>
      </w:r>
      <w:r>
        <w:rPr>
          <w:iCs/>
        </w:rPr>
        <w:t xml:space="preserve">ntial harmonized spectrum usage </w:t>
      </w:r>
      <w:r w:rsidRPr="00094A8C">
        <w:rPr>
          <w:iCs/>
        </w:rPr>
        <w:t>to support the implementation of narrowband and broadband MTC infrastructures could be further</w:t>
      </w:r>
      <w:r>
        <w:rPr>
          <w:iCs/>
        </w:rPr>
        <w:t xml:space="preserve"> </w:t>
      </w:r>
      <w:r w:rsidRPr="00094A8C">
        <w:rPr>
          <w:iCs/>
        </w:rPr>
        <w:t>accomplished through the course of the work in ITU-R Study Groups including the development of</w:t>
      </w:r>
      <w:r>
        <w:rPr>
          <w:iCs/>
        </w:rPr>
        <w:t xml:space="preserve"> </w:t>
      </w:r>
      <w:r w:rsidRPr="00094A8C">
        <w:rPr>
          <w:iCs/>
        </w:rPr>
        <w:t xml:space="preserve">ITU-R Recommendations, Reports and/or Handbooks, as appropriate. </w:t>
      </w:r>
      <w:r>
        <w:rPr>
          <w:iCs/>
        </w:rPr>
        <w:t>One example</w:t>
      </w:r>
      <w:r w:rsidRPr="00094A8C">
        <w:rPr>
          <w:iCs/>
        </w:rPr>
        <w:t xml:space="preserve"> of the</w:t>
      </w:r>
      <w:r>
        <w:rPr>
          <w:iCs/>
        </w:rPr>
        <w:t xml:space="preserve"> </w:t>
      </w:r>
      <w:r w:rsidRPr="00094A8C">
        <w:rPr>
          <w:iCs/>
        </w:rPr>
        <w:t>potential harmonized use of IMT-based MTC, based on IMT frequency arrangements provided by</w:t>
      </w:r>
      <w:r>
        <w:rPr>
          <w:iCs/>
        </w:rPr>
        <w:t xml:space="preserve"> </w:t>
      </w:r>
      <w:r w:rsidRPr="00094A8C">
        <w:rPr>
          <w:iCs/>
        </w:rPr>
        <w:t>Recommendation ITU-R M.1036, can be found in Report I</w:t>
      </w:r>
      <w:r>
        <w:rPr>
          <w:iCs/>
        </w:rPr>
        <w:t>TU-R M.2440-0.</w:t>
      </w:r>
    </w:p>
    <w:p w:rsidR="002A0111" w:rsidRDefault="002A0111" w:rsidP="00E72023">
      <w:pPr>
        <w:rPr>
          <w:lang w:val="en-NZ"/>
        </w:rPr>
      </w:pPr>
    </w:p>
    <w:p w:rsidR="00403D60" w:rsidRDefault="00403D60" w:rsidP="00E72023">
      <w:pPr>
        <w:jc w:val="both"/>
        <w:rPr>
          <w:b/>
          <w:lang w:val="en-NZ" w:eastAsia="ko-KR"/>
        </w:rPr>
      </w:pPr>
      <w:r>
        <w:rPr>
          <w:b/>
          <w:lang w:val="en-NZ" w:eastAsia="ko-KR"/>
        </w:rPr>
        <w:t xml:space="preserve">3.1.5 </w:t>
      </w:r>
      <w:r>
        <w:rPr>
          <w:b/>
          <w:lang w:val="en-NZ" w:eastAsia="ko-KR"/>
        </w:rPr>
        <w:tab/>
        <w:t>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00542C5D">
        <w:rPr>
          <w:b/>
          <w:lang w:val="en-NZ" w:eastAsia="ko-KR"/>
        </w:rPr>
        <w:t>/INP-80</w:t>
      </w:r>
    </w:p>
    <w:p w:rsidR="002A459C" w:rsidRPr="00441526" w:rsidRDefault="002A459C" w:rsidP="00E72023">
      <w:pPr>
        <w:jc w:val="both"/>
        <w:rPr>
          <w:b/>
          <w:lang w:val="en-NZ" w:eastAsia="ko-KR"/>
        </w:rPr>
      </w:pPr>
    </w:p>
    <w:p w:rsidR="00403D60" w:rsidRDefault="00403D60" w:rsidP="00E72023">
      <w:pPr>
        <w:tabs>
          <w:tab w:val="left" w:pos="600"/>
        </w:tabs>
        <w:ind w:left="720"/>
        <w:jc w:val="both"/>
        <w:rPr>
          <w:rFonts w:eastAsiaTheme="minorEastAsia"/>
          <w:lang w:eastAsia="ja-JP"/>
        </w:rPr>
      </w:pPr>
      <w:r w:rsidRPr="009B0D22">
        <w:rPr>
          <w:rFonts w:eastAsiaTheme="minorEastAsia"/>
          <w:lang w:eastAsia="ja-JP"/>
        </w:rPr>
        <w:t xml:space="preserve">Similar to </w:t>
      </w:r>
      <w:r>
        <w:rPr>
          <w:rFonts w:eastAsiaTheme="minorEastAsia" w:hint="eastAsia"/>
          <w:lang w:eastAsia="ja-JP"/>
        </w:rPr>
        <w:t xml:space="preserve">the agreed APT Preliminary Views </w:t>
      </w:r>
      <w:r>
        <w:rPr>
          <w:rFonts w:eastAsiaTheme="minorEastAsia"/>
          <w:lang w:eastAsia="ja-JP"/>
        </w:rPr>
        <w:t>at the APG19-4 meeting and the conclusion of the</w:t>
      </w:r>
      <w:r w:rsidRPr="00AF1A24">
        <w:rPr>
          <w:rFonts w:eastAsiaTheme="minorEastAsia"/>
          <w:lang w:eastAsia="ja-JP"/>
        </w:rPr>
        <w:t xml:space="preserve"> CPM report</w:t>
      </w:r>
      <w:r>
        <w:rPr>
          <w:rFonts w:eastAsiaTheme="minorEastAsia"/>
          <w:lang w:eastAsia="ja-JP"/>
        </w:rPr>
        <w:t xml:space="preserve">, </w:t>
      </w:r>
      <w:r w:rsidRPr="007E41BF">
        <w:rPr>
          <w:rFonts w:eastAsiaTheme="minorEastAsia"/>
          <w:lang w:eastAsia="ja-JP"/>
        </w:rPr>
        <w:t>Japan is of the view that there is no need to identify specific spectrums for MTC applications according to the ITU Radio Regulations.</w:t>
      </w:r>
    </w:p>
    <w:p w:rsidR="00476443" w:rsidRDefault="00476443" w:rsidP="00E72023">
      <w:pPr>
        <w:tabs>
          <w:tab w:val="left" w:pos="600"/>
        </w:tabs>
        <w:ind w:left="720"/>
        <w:jc w:val="both"/>
        <w:rPr>
          <w:rFonts w:eastAsiaTheme="minorEastAsia"/>
          <w:lang w:eastAsia="ja-JP"/>
        </w:rPr>
      </w:pPr>
    </w:p>
    <w:p w:rsidR="00476443" w:rsidRDefault="00476443" w:rsidP="00E72023">
      <w:pPr>
        <w:tabs>
          <w:tab w:val="left" w:pos="600"/>
        </w:tabs>
        <w:jc w:val="both"/>
        <w:rPr>
          <w:rFonts w:eastAsiaTheme="minorEastAsia"/>
          <w:lang w:eastAsia="ja-JP"/>
        </w:rPr>
      </w:pPr>
      <w:r>
        <w:rPr>
          <w:rFonts w:eastAsiaTheme="minorEastAsia"/>
          <w:lang w:eastAsia="ja-JP"/>
        </w:rPr>
        <w:tab/>
      </w:r>
      <w:r>
        <w:rPr>
          <w:rFonts w:eastAsiaTheme="minorEastAsia"/>
          <w:lang w:eastAsia="ja-JP"/>
        </w:rPr>
        <w:tab/>
        <w:t xml:space="preserve">Japan proposes to develop a Preliminary APT </w:t>
      </w:r>
      <w:r>
        <w:rPr>
          <w:rFonts w:eastAsiaTheme="minorEastAsia" w:hint="eastAsia"/>
          <w:lang w:eastAsia="ja-JP"/>
        </w:rPr>
        <w:t>C</w:t>
      </w:r>
      <w:r>
        <w:rPr>
          <w:rFonts w:eastAsiaTheme="minorEastAsia"/>
          <w:lang w:eastAsia="ja-JP"/>
        </w:rPr>
        <w:t>ommon Proposal as embedded below.</w:t>
      </w:r>
    </w:p>
    <w:p w:rsidR="00476443" w:rsidRDefault="00476443" w:rsidP="00E72023">
      <w:pPr>
        <w:tabs>
          <w:tab w:val="left" w:pos="600"/>
        </w:tabs>
        <w:rPr>
          <w:rFonts w:eastAsiaTheme="minorEastAsia"/>
          <w:lang w:eastAsia="ja-JP"/>
        </w:rPr>
      </w:pPr>
    </w:p>
    <w:bookmarkStart w:id="1" w:name="_MON_1620122392"/>
    <w:bookmarkEnd w:id="1"/>
    <w:p w:rsidR="00476443" w:rsidRDefault="00476443" w:rsidP="00E72023">
      <w:pPr>
        <w:tabs>
          <w:tab w:val="left" w:pos="600"/>
        </w:tabs>
        <w:ind w:left="720"/>
        <w:jc w:val="both"/>
        <w:rPr>
          <w:rFonts w:eastAsiaTheme="minorEastAsia"/>
          <w:lang w:eastAsia="ja-JP"/>
        </w:rPr>
      </w:pPr>
      <w:r>
        <w:object w:dxaOrig="1520" w:dyaOrig="1036">
          <v:shape id="_x0000_i1026" type="#_x0000_t75" style="width:76.5pt;height:51pt" o:ole="">
            <v:imagedata r:id="rId13" o:title=""/>
          </v:shape>
          <o:OLEObject Type="Embed" ProgID="Word.Document.12" ShapeID="_x0000_i1026" DrawAspect="Icon" ObjectID="_1626812417" r:id="rId14">
            <o:FieldCodes>\s</o:FieldCodes>
          </o:OLEObject>
        </w:object>
      </w:r>
    </w:p>
    <w:p w:rsidR="001F3CDA" w:rsidRDefault="001F3CDA" w:rsidP="00E72023">
      <w:pPr>
        <w:rPr>
          <w:lang w:val="en-NZ"/>
        </w:rPr>
      </w:pPr>
    </w:p>
    <w:p w:rsidR="00403D60" w:rsidRDefault="00476443" w:rsidP="00E72023">
      <w:pPr>
        <w:jc w:val="both"/>
        <w:rPr>
          <w:b/>
          <w:lang w:val="en-NZ" w:eastAsia="ko-KR"/>
        </w:rPr>
      </w:pPr>
      <w:r>
        <w:rPr>
          <w:b/>
          <w:lang w:val="en-NZ" w:eastAsia="ko-KR"/>
        </w:rPr>
        <w:t>3.1.6</w:t>
      </w:r>
      <w:r w:rsidR="00403D60">
        <w:rPr>
          <w:b/>
          <w:lang w:val="en-NZ" w:eastAsia="ko-KR"/>
        </w:rPr>
        <w:t xml:space="preserve"> </w:t>
      </w:r>
      <w:r w:rsidR="00403D60">
        <w:rPr>
          <w:b/>
          <w:lang w:val="en-NZ" w:eastAsia="ko-KR"/>
        </w:rPr>
        <w:tab/>
      </w:r>
      <w:r w:rsidR="00542C5D">
        <w:rPr>
          <w:b/>
          <w:lang w:val="en-NZ" w:eastAsia="ko-KR"/>
        </w:rPr>
        <w:t>Malaysia, Singapore and Thailand</w:t>
      </w:r>
      <w:r w:rsidR="00403D60" w:rsidRPr="00441526">
        <w:rPr>
          <w:b/>
          <w:lang w:val="en-NZ" w:eastAsia="ko-KR"/>
        </w:rPr>
        <w:t xml:space="preserve"> </w:t>
      </w:r>
      <w:r w:rsidR="00403D60" w:rsidRPr="00441526">
        <w:t xml:space="preserve">- </w:t>
      </w:r>
      <w:r w:rsidR="00403D60" w:rsidRPr="00441526">
        <w:rPr>
          <w:b/>
          <w:lang w:val="en-NZ" w:eastAsia="ko-KR"/>
        </w:rPr>
        <w:t>Document APG19-</w:t>
      </w:r>
      <w:r w:rsidR="00403D60">
        <w:rPr>
          <w:b/>
          <w:lang w:val="en-NZ" w:eastAsia="ko-KR"/>
        </w:rPr>
        <w:t>5</w:t>
      </w:r>
      <w:r w:rsidR="00542C5D">
        <w:rPr>
          <w:b/>
          <w:lang w:val="en-NZ" w:eastAsia="ko-KR"/>
        </w:rPr>
        <w:t>/INP-103</w:t>
      </w:r>
    </w:p>
    <w:p w:rsidR="002A459C" w:rsidRPr="00441526" w:rsidRDefault="002A459C" w:rsidP="00E72023">
      <w:pPr>
        <w:jc w:val="both"/>
        <w:rPr>
          <w:b/>
          <w:lang w:val="en-NZ" w:eastAsia="ko-KR"/>
        </w:rPr>
      </w:pPr>
    </w:p>
    <w:p w:rsidR="00542C5D" w:rsidRDefault="00542C5D" w:rsidP="00E72023">
      <w:pPr>
        <w:pStyle w:val="Default"/>
        <w:ind w:left="720"/>
        <w:rPr>
          <w:rFonts w:ascii="Times New Roman" w:eastAsia="BatangChe" w:hAnsi="Times New Roman" w:cs="Times New Roman"/>
          <w:color w:val="auto"/>
          <w:lang w:bidi="ar-SA"/>
        </w:rPr>
      </w:pPr>
      <w:r>
        <w:rPr>
          <w:rFonts w:ascii="Times New Roman" w:eastAsia="BatangChe" w:hAnsi="Times New Roman" w:cs="Times New Roman"/>
          <w:color w:val="auto"/>
          <w:lang w:bidi="ar-SA"/>
        </w:rPr>
        <w:t xml:space="preserve">Malaysia, Singapore and </w:t>
      </w:r>
      <w:r w:rsidRPr="00B32590">
        <w:rPr>
          <w:rFonts w:ascii="Times New Roman" w:eastAsia="BatangChe" w:hAnsi="Times New Roman" w:cs="Times New Roman"/>
          <w:color w:val="auto"/>
          <w:lang w:bidi="ar-SA"/>
        </w:rPr>
        <w:t>Thailand support the APG19-4 Preliminary View on WRC-19 agenda item 9.1 (Issue 9.1.8), as follows:</w:t>
      </w:r>
    </w:p>
    <w:p w:rsidR="002A459C" w:rsidRPr="00B32590" w:rsidRDefault="002A459C" w:rsidP="00E72023">
      <w:pPr>
        <w:pStyle w:val="Default"/>
        <w:ind w:left="720"/>
        <w:rPr>
          <w:rFonts w:ascii="Times New Roman" w:eastAsia="BatangChe" w:hAnsi="Times New Roman" w:cs="Times New Roman"/>
          <w:color w:val="auto"/>
          <w:lang w:bidi="ar-SA"/>
        </w:rPr>
      </w:pPr>
    </w:p>
    <w:p w:rsidR="00542C5D" w:rsidRDefault="00542C5D" w:rsidP="00E72023">
      <w:pPr>
        <w:pStyle w:val="ListParagraph"/>
        <w:numPr>
          <w:ilvl w:val="0"/>
          <w:numId w:val="24"/>
        </w:numPr>
        <w:contextualSpacing/>
        <w:jc w:val="both"/>
      </w:pPr>
      <w:r w:rsidRPr="00B32590">
        <w:t>The possible harmonized use of spectrum to support narrowband and broadband machine-type communication applications can be achieved through ITU-R Recommendations/Reports; and</w:t>
      </w:r>
    </w:p>
    <w:p w:rsidR="002A459C" w:rsidRPr="00B32590" w:rsidRDefault="002A459C" w:rsidP="00FD0ACB">
      <w:pPr>
        <w:pStyle w:val="ListParagraph"/>
        <w:ind w:left="1080"/>
        <w:contextualSpacing/>
        <w:jc w:val="both"/>
      </w:pPr>
    </w:p>
    <w:p w:rsidR="00403D60" w:rsidRPr="00476443" w:rsidRDefault="00542C5D" w:rsidP="00E72023">
      <w:pPr>
        <w:pStyle w:val="ListParagraph"/>
        <w:numPr>
          <w:ilvl w:val="0"/>
          <w:numId w:val="24"/>
        </w:numPr>
        <w:contextualSpacing/>
        <w:jc w:val="both"/>
        <w:rPr>
          <w:color w:val="000000" w:themeColor="text1"/>
        </w:rPr>
      </w:pPr>
      <w:r w:rsidRPr="00B32590">
        <w:t>There is no need to make any changes to the Radio Regulations nor any identification of spectrum to support narrowband and broadband machine-type communication applications in the Radio Regulations, consistent with the CPM Report’s conclusion</w:t>
      </w:r>
      <w:r w:rsidR="00476443">
        <w:t>.</w:t>
      </w:r>
    </w:p>
    <w:p w:rsidR="00476443" w:rsidRDefault="00476443" w:rsidP="00E72023">
      <w:pPr>
        <w:contextualSpacing/>
        <w:jc w:val="both"/>
        <w:rPr>
          <w:color w:val="000000" w:themeColor="text1"/>
        </w:rPr>
      </w:pPr>
    </w:p>
    <w:p w:rsidR="00476443" w:rsidRDefault="00476443" w:rsidP="00E72023">
      <w:pPr>
        <w:jc w:val="both"/>
        <w:rPr>
          <w:b/>
          <w:lang w:val="en-NZ" w:eastAsia="ko-KR"/>
        </w:rPr>
      </w:pPr>
      <w:r>
        <w:rPr>
          <w:b/>
          <w:lang w:val="en-NZ" w:eastAsia="ko-KR"/>
        </w:rPr>
        <w:t xml:space="preserve">3.1.7 </w:t>
      </w:r>
      <w:r>
        <w:rPr>
          <w:b/>
          <w:lang w:val="en-NZ" w:eastAsia="ko-KR"/>
        </w:rPr>
        <w:tab/>
        <w:t>Korea</w:t>
      </w:r>
      <w:r w:rsidRPr="00441526">
        <w:rPr>
          <w:b/>
          <w:lang w:val="en-NZ" w:eastAsia="ko-KR"/>
        </w:rPr>
        <w:t xml:space="preserve"> </w:t>
      </w:r>
      <w:r w:rsidRPr="00441526">
        <w:t xml:space="preserve">- </w:t>
      </w:r>
      <w:r w:rsidRPr="00441526">
        <w:rPr>
          <w:b/>
          <w:lang w:val="en-NZ" w:eastAsia="ko-KR"/>
        </w:rPr>
        <w:t>Document APG19-</w:t>
      </w:r>
      <w:r>
        <w:rPr>
          <w:b/>
          <w:lang w:val="en-NZ" w:eastAsia="ko-KR"/>
        </w:rPr>
        <w:t>5/INP-128</w:t>
      </w:r>
    </w:p>
    <w:p w:rsidR="002A459C" w:rsidRPr="00441526" w:rsidRDefault="002A459C" w:rsidP="00E72023">
      <w:pPr>
        <w:jc w:val="both"/>
        <w:rPr>
          <w:b/>
          <w:lang w:val="en-NZ" w:eastAsia="ko-KR"/>
        </w:rPr>
      </w:pPr>
    </w:p>
    <w:p w:rsidR="001F3CDA" w:rsidRDefault="00476443" w:rsidP="00E72023">
      <w:pPr>
        <w:ind w:left="720"/>
        <w:rPr>
          <w:color w:val="000000" w:themeColor="text1"/>
          <w:lang w:eastAsia="ko-KR"/>
        </w:rPr>
      </w:pPr>
      <w:r>
        <w:rPr>
          <w:lang w:val="en-NZ" w:eastAsia="ko-KR"/>
        </w:rPr>
        <w:lastRenderedPageBreak/>
        <w:t xml:space="preserve">The Republic of </w:t>
      </w:r>
      <w:r>
        <w:rPr>
          <w:rFonts w:hint="eastAsia"/>
          <w:lang w:val="en-NZ" w:eastAsia="ko-KR"/>
        </w:rPr>
        <w:t xml:space="preserve">Korea is </w:t>
      </w:r>
      <w:r>
        <w:rPr>
          <w:rFonts w:eastAsiaTheme="minorEastAsia"/>
          <w:lang w:eastAsia="ja-JP"/>
        </w:rPr>
        <w:t>of the view that</w:t>
      </w:r>
      <w:r>
        <w:rPr>
          <w:color w:val="000000" w:themeColor="text1"/>
          <w:lang w:eastAsia="ko-KR"/>
        </w:rPr>
        <w:t xml:space="preserve"> there is no need to take any regulatory action in the Radio Regulations with respect to specific spectrum for the use of those applications in the Radio Regulations.</w:t>
      </w:r>
    </w:p>
    <w:p w:rsidR="00476443" w:rsidRPr="00441526" w:rsidRDefault="00476443" w:rsidP="00E72023">
      <w:pPr>
        <w:ind w:left="720"/>
        <w:rPr>
          <w:lang w:val="en-NZ"/>
        </w:rPr>
      </w:pPr>
    </w:p>
    <w:p w:rsidR="002A0111" w:rsidRDefault="002A0111" w:rsidP="00DB5D9B">
      <w:pPr>
        <w:jc w:val="both"/>
        <w:rPr>
          <w:i/>
          <w:u w:val="single"/>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DD479F" w:rsidRDefault="00DD479F" w:rsidP="00E72023">
      <w:pPr>
        <w:ind w:left="708"/>
        <w:jc w:val="both"/>
        <w:rPr>
          <w:lang w:val="en-NZ"/>
        </w:rPr>
      </w:pPr>
    </w:p>
    <w:p w:rsidR="00E72023" w:rsidRDefault="00E4302F" w:rsidP="00E72023">
      <w:pPr>
        <w:ind w:left="708"/>
        <w:jc w:val="both"/>
        <w:rPr>
          <w:lang w:val="en-NZ"/>
        </w:rPr>
      </w:pPr>
      <w:r w:rsidRPr="00BC28F0">
        <w:rPr>
          <w:lang w:val="en-NZ"/>
        </w:rPr>
        <w:t>None</w:t>
      </w:r>
    </w:p>
    <w:p w:rsidR="00DD479F" w:rsidRPr="00BC28F0" w:rsidRDefault="00DD479F" w:rsidP="00E72023">
      <w:pPr>
        <w:ind w:left="708"/>
        <w:jc w:val="both"/>
        <w:rPr>
          <w:lang w:val="en-NZ"/>
        </w:rPr>
      </w:pPr>
    </w:p>
    <w:p w:rsidR="002A0111" w:rsidRPr="00441526" w:rsidRDefault="002A0111" w:rsidP="00E72023">
      <w:pPr>
        <w:jc w:val="both"/>
        <w:rPr>
          <w:b/>
          <w:lang w:val="en-NZ" w:eastAsia="ko-KR"/>
        </w:rPr>
      </w:pPr>
      <w:r w:rsidRPr="00441526">
        <w:rPr>
          <w:b/>
          <w:lang w:val="en-NZ" w:eastAsia="ko-KR"/>
        </w:rPr>
        <w:t xml:space="preserve">4. </w:t>
      </w:r>
      <w:r w:rsidRPr="00441526">
        <w:rPr>
          <w:b/>
          <w:lang w:val="en-NZ" w:eastAsia="ko-KR"/>
        </w:rPr>
        <w:tab/>
        <w:t>APT View(s)</w:t>
      </w:r>
    </w:p>
    <w:p w:rsidR="000925F7" w:rsidRDefault="000925F7" w:rsidP="00E72023">
      <w:pPr>
        <w:jc w:val="both"/>
        <w:rPr>
          <w:i/>
          <w:u w:val="single"/>
          <w:lang w:val="en-NZ"/>
        </w:rPr>
      </w:pPr>
    </w:p>
    <w:p w:rsidR="002A0111" w:rsidRPr="00E72023" w:rsidRDefault="000925F7" w:rsidP="00E72023">
      <w:pPr>
        <w:ind w:left="720"/>
        <w:jc w:val="both"/>
      </w:pPr>
      <w:r w:rsidRPr="00F22EE6">
        <w:t xml:space="preserve">APT Members support </w:t>
      </w:r>
      <w:r w:rsidR="00DD479F">
        <w:t xml:space="preserve">the </w:t>
      </w:r>
      <w:r w:rsidR="00777955">
        <w:t>conclusion of</w:t>
      </w:r>
      <w:r>
        <w:t xml:space="preserve"> </w:t>
      </w:r>
      <w:r w:rsidR="00DD479F">
        <w:t xml:space="preserve">the </w:t>
      </w:r>
      <w:r>
        <w:t>CPM</w:t>
      </w:r>
      <w:r w:rsidRPr="00F22EE6">
        <w:t xml:space="preserve"> Report</w:t>
      </w:r>
      <w:r w:rsidR="00E72023">
        <w:t xml:space="preserve"> to WRC-19</w:t>
      </w:r>
      <w:r w:rsidR="005549BB">
        <w:rPr>
          <w:rFonts w:hint="eastAsia"/>
          <w:lang w:eastAsia="ko-KR"/>
        </w:rPr>
        <w:t xml:space="preserve"> agenda item 9.1 issue 9.1.8.</w:t>
      </w:r>
      <w:r w:rsidRPr="00F22EE6">
        <w:t xml:space="preserve"> </w:t>
      </w:r>
    </w:p>
    <w:p w:rsidR="002A0111" w:rsidRPr="00441526" w:rsidRDefault="002A0111" w:rsidP="00E72023">
      <w:pPr>
        <w:rPr>
          <w:lang w:val="en-NZ"/>
        </w:rPr>
      </w:pPr>
    </w:p>
    <w:p w:rsidR="002A0111" w:rsidRPr="00441526" w:rsidRDefault="002A0111" w:rsidP="00E72023">
      <w:pPr>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E72023" w:rsidRDefault="00E72023" w:rsidP="00E72023">
      <w:pPr>
        <w:ind w:left="720"/>
        <w:jc w:val="both"/>
      </w:pPr>
    </w:p>
    <w:p w:rsidR="000925F7" w:rsidRDefault="000925F7" w:rsidP="00E72023">
      <w:pPr>
        <w:ind w:left="720"/>
        <w:jc w:val="both"/>
      </w:pPr>
      <w:r w:rsidRPr="00BC33B4">
        <w:t xml:space="preserve">APT </w:t>
      </w:r>
      <w:r w:rsidR="00966198">
        <w:t>M</w:t>
      </w:r>
      <w:r>
        <w:t>embers support</w:t>
      </w:r>
      <w:r w:rsidRPr="00BC33B4">
        <w:t xml:space="preserve"> </w:t>
      </w:r>
      <w:r>
        <w:t xml:space="preserve">the </w:t>
      </w:r>
      <w:r w:rsidRPr="00BC33B4">
        <w:t xml:space="preserve">common proposal as developed at </w:t>
      </w:r>
      <w:r w:rsidR="00E4302F" w:rsidRPr="00BC33B4">
        <w:t>APG1</w:t>
      </w:r>
      <w:r w:rsidR="00E4302F">
        <w:t>9</w:t>
      </w:r>
      <w:r w:rsidRPr="00BC33B4">
        <w:t xml:space="preserve">-5 </w:t>
      </w:r>
      <w:r>
        <w:t>and enclosed herewith.</w:t>
      </w:r>
    </w:p>
    <w:p w:rsidR="0081246C" w:rsidRDefault="0081246C" w:rsidP="00E72023">
      <w:pPr>
        <w:ind w:left="720"/>
        <w:jc w:val="both"/>
      </w:pPr>
    </w:p>
    <w:bookmarkStart w:id="2" w:name="_GoBack"/>
    <w:bookmarkStart w:id="3" w:name="_MON_1626556217"/>
    <w:bookmarkEnd w:id="3"/>
    <w:p w:rsidR="0081246C" w:rsidRDefault="00C50AF6" w:rsidP="00E72023">
      <w:pPr>
        <w:ind w:left="720"/>
        <w:jc w:val="both"/>
      </w:pPr>
      <w:r>
        <w:object w:dxaOrig="935" w:dyaOrig="642">
          <v:shape id="_x0000_i1027" type="#_x0000_t75" style="width:46.5pt;height:32.25pt" o:ole="">
            <v:imagedata r:id="rId15" o:title=""/>
          </v:shape>
          <o:OLEObject Type="Embed" ProgID="Word.Document.12" ShapeID="_x0000_i1027" DrawAspect="Icon" ObjectID="_1626812418" r:id="rId16">
            <o:FieldCodes>\s</o:FieldCodes>
          </o:OLEObject>
        </w:object>
      </w:r>
      <w:bookmarkEnd w:id="2"/>
    </w:p>
    <w:p w:rsidR="004579BE" w:rsidRDefault="004579BE">
      <w:pPr>
        <w:rPr>
          <w:b/>
          <w:highlight w:val="yellow"/>
          <w:lang w:val="en-NZ"/>
        </w:rPr>
      </w:pPr>
    </w:p>
    <w:sectPr w:rsidR="004579BE" w:rsidSect="00C516C7">
      <w:headerReference w:type="even" r:id="rId17"/>
      <w:headerReference w:type="default" r:id="rId18"/>
      <w:footerReference w:type="even" r:id="rId19"/>
      <w:footerReference w:type="default" r:id="rId20"/>
      <w:headerReference w:type="first" r:id="rId21"/>
      <w:footerReference w:type="first" r:id="rId2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AA" w:rsidRDefault="002932AA">
      <w:r>
        <w:separator/>
      </w:r>
    </w:p>
  </w:endnote>
  <w:endnote w:type="continuationSeparator" w:id="0">
    <w:p w:rsidR="002932AA" w:rsidRDefault="0029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 SarabunPSK">
    <w:charset w:val="00"/>
    <w:family w:val="swiss"/>
    <w:pitch w:val="variable"/>
    <w:sig w:usb0="00000000"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1D3DE2">
      <w:rPr>
        <w:lang w:eastAsia="ko-KR"/>
      </w:rPr>
      <w:t>OUT-38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50AF6">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50AF6">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ED22F1" w:rsidP="0092727B">
          <w:pPr>
            <w:pStyle w:val="Footer"/>
            <w:tabs>
              <w:tab w:val="clear" w:pos="4320"/>
              <w:tab w:val="clear" w:pos="8640"/>
            </w:tabs>
          </w:pPr>
          <w:r>
            <w:t>Fierza Pasaribu</w:t>
          </w:r>
        </w:p>
        <w:p w:rsidR="002A0111" w:rsidRPr="002A0111" w:rsidRDefault="00ED22F1" w:rsidP="00ED22F1">
          <w:pPr>
            <w:pStyle w:val="Footer"/>
            <w:tabs>
              <w:tab w:val="clear" w:pos="4320"/>
              <w:tab w:val="clear" w:pos="8640"/>
            </w:tabs>
          </w:pPr>
          <w:r>
            <w:t>Chairman, DG AI 9.1.8</w:t>
          </w:r>
        </w:p>
      </w:tc>
      <w:tc>
        <w:tcPr>
          <w:tcW w:w="2880" w:type="dxa"/>
          <w:tcBorders>
            <w:top w:val="single" w:sz="8" w:space="0" w:color="auto"/>
            <w:left w:val="nil"/>
            <w:bottom w:val="nil"/>
          </w:tcBorders>
        </w:tcPr>
        <w:p w:rsidR="0092727B" w:rsidRPr="0092727B" w:rsidRDefault="0092727B" w:rsidP="00AD771E">
          <w:pPr>
            <w:pStyle w:val="Footer"/>
            <w:tabs>
              <w:tab w:val="clear" w:pos="4320"/>
              <w:tab w:val="clear" w:pos="8640"/>
            </w:tabs>
          </w:pPr>
          <w:r>
            <w:t>E-mail:</w:t>
          </w:r>
          <w:r w:rsidR="00ED22F1">
            <w:t xml:space="preserve"> </w:t>
          </w:r>
          <w:r w:rsidR="00AD771E">
            <w:t>fier001@kominfo.go.id</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AA" w:rsidRDefault="002932AA">
      <w:r>
        <w:separator/>
      </w:r>
    </w:p>
  </w:footnote>
  <w:footnote w:type="continuationSeparator" w:id="0">
    <w:p w:rsidR="002932AA" w:rsidRDefault="00293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E2" w:rsidRDefault="001D3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D6418"/>
    <w:multiLevelType w:val="hybridMultilevel"/>
    <w:tmpl w:val="4DA6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9C80468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816B436">
      <w:start w:val="1"/>
      <w:numFmt w:val="bullet"/>
      <w:lvlText w:val="-"/>
      <w:lvlJc w:val="left"/>
      <w:pPr>
        <w:ind w:left="1120" w:hanging="400"/>
      </w:pPr>
      <w:rPr>
        <w:rFonts w:ascii="Times New Roman" w:eastAsia="Batang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432F14BE"/>
    <w:multiLevelType w:val="hybridMultilevel"/>
    <w:tmpl w:val="DA2E93BE"/>
    <w:lvl w:ilvl="0" w:tplc="B816B436">
      <w:start w:val="1"/>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17"/>
  </w:num>
  <w:num w:numId="5">
    <w:abstractNumId w:val="9"/>
  </w:num>
  <w:num w:numId="6">
    <w:abstractNumId w:val="11"/>
  </w:num>
  <w:num w:numId="7">
    <w:abstractNumId w:val="2"/>
  </w:num>
  <w:num w:numId="8">
    <w:abstractNumId w:val="1"/>
  </w:num>
  <w:num w:numId="9">
    <w:abstractNumId w:val="20"/>
  </w:num>
  <w:num w:numId="10">
    <w:abstractNumId w:val="16"/>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5"/>
  </w:num>
  <w:num w:numId="18">
    <w:abstractNumId w:val="12"/>
  </w:num>
  <w:num w:numId="19">
    <w:abstractNumId w:val="19"/>
  </w:num>
  <w:num w:numId="20">
    <w:abstractNumId w:val="8"/>
  </w:num>
  <w:num w:numId="21">
    <w:abstractNumId w:val="18"/>
  </w:num>
  <w:num w:numId="22">
    <w:abstractNumId w:val="2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595B"/>
    <w:rsid w:val="00036517"/>
    <w:rsid w:val="00036CC9"/>
    <w:rsid w:val="00040149"/>
    <w:rsid w:val="00070642"/>
    <w:rsid w:val="000713CF"/>
    <w:rsid w:val="00075C14"/>
    <w:rsid w:val="000822B5"/>
    <w:rsid w:val="0009258F"/>
    <w:rsid w:val="000925F7"/>
    <w:rsid w:val="00094B87"/>
    <w:rsid w:val="000A012B"/>
    <w:rsid w:val="000A5418"/>
    <w:rsid w:val="000D0BA6"/>
    <w:rsid w:val="000D47FB"/>
    <w:rsid w:val="000F345F"/>
    <w:rsid w:val="000F517C"/>
    <w:rsid w:val="000F5540"/>
    <w:rsid w:val="000F7D6C"/>
    <w:rsid w:val="00105F1A"/>
    <w:rsid w:val="00125FBD"/>
    <w:rsid w:val="00126CAF"/>
    <w:rsid w:val="001409B2"/>
    <w:rsid w:val="00141E16"/>
    <w:rsid w:val="00152636"/>
    <w:rsid w:val="001539DD"/>
    <w:rsid w:val="00156782"/>
    <w:rsid w:val="00156AFC"/>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3DE2"/>
    <w:rsid w:val="001D5D7E"/>
    <w:rsid w:val="001F3CDA"/>
    <w:rsid w:val="001F5947"/>
    <w:rsid w:val="00202410"/>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32AA"/>
    <w:rsid w:val="0029734E"/>
    <w:rsid w:val="002A0111"/>
    <w:rsid w:val="002A3CF5"/>
    <w:rsid w:val="002A459C"/>
    <w:rsid w:val="002B06A3"/>
    <w:rsid w:val="002B435C"/>
    <w:rsid w:val="002B447F"/>
    <w:rsid w:val="002C07DA"/>
    <w:rsid w:val="002C2A49"/>
    <w:rsid w:val="002C7EA9"/>
    <w:rsid w:val="002F575D"/>
    <w:rsid w:val="003113D7"/>
    <w:rsid w:val="00311E8A"/>
    <w:rsid w:val="00342F20"/>
    <w:rsid w:val="00360377"/>
    <w:rsid w:val="00366548"/>
    <w:rsid w:val="0038005B"/>
    <w:rsid w:val="003809C7"/>
    <w:rsid w:val="0038236C"/>
    <w:rsid w:val="003875EB"/>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03D60"/>
    <w:rsid w:val="0041313C"/>
    <w:rsid w:val="00420822"/>
    <w:rsid w:val="00420C74"/>
    <w:rsid w:val="00441526"/>
    <w:rsid w:val="004465AA"/>
    <w:rsid w:val="00446A5E"/>
    <w:rsid w:val="0045458F"/>
    <w:rsid w:val="004579BE"/>
    <w:rsid w:val="004633B4"/>
    <w:rsid w:val="00476443"/>
    <w:rsid w:val="00495AEE"/>
    <w:rsid w:val="00495CED"/>
    <w:rsid w:val="00496304"/>
    <w:rsid w:val="004A29EE"/>
    <w:rsid w:val="004A2F96"/>
    <w:rsid w:val="004A4BDF"/>
    <w:rsid w:val="004B3553"/>
    <w:rsid w:val="004B3F4B"/>
    <w:rsid w:val="004C23A3"/>
    <w:rsid w:val="004E1FCA"/>
    <w:rsid w:val="004E47D6"/>
    <w:rsid w:val="004F477A"/>
    <w:rsid w:val="004F5F76"/>
    <w:rsid w:val="004F6992"/>
    <w:rsid w:val="00503189"/>
    <w:rsid w:val="00504750"/>
    <w:rsid w:val="00516BD1"/>
    <w:rsid w:val="005206E9"/>
    <w:rsid w:val="0052356A"/>
    <w:rsid w:val="00526D01"/>
    <w:rsid w:val="00530E8C"/>
    <w:rsid w:val="00535D34"/>
    <w:rsid w:val="00542C5D"/>
    <w:rsid w:val="00545933"/>
    <w:rsid w:val="00552105"/>
    <w:rsid w:val="005549BB"/>
    <w:rsid w:val="005562F2"/>
    <w:rsid w:val="00557544"/>
    <w:rsid w:val="00565BBB"/>
    <w:rsid w:val="005811B6"/>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6166"/>
    <w:rsid w:val="00654896"/>
    <w:rsid w:val="006621F0"/>
    <w:rsid w:val="006647BA"/>
    <w:rsid w:val="00667229"/>
    <w:rsid w:val="00682BE5"/>
    <w:rsid w:val="00683846"/>
    <w:rsid w:val="00690FED"/>
    <w:rsid w:val="006939A5"/>
    <w:rsid w:val="006B22C0"/>
    <w:rsid w:val="006B66A3"/>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6E1"/>
    <w:rsid w:val="00777955"/>
    <w:rsid w:val="00791060"/>
    <w:rsid w:val="007926EA"/>
    <w:rsid w:val="007B5626"/>
    <w:rsid w:val="007B6124"/>
    <w:rsid w:val="007B7F4C"/>
    <w:rsid w:val="007D3C53"/>
    <w:rsid w:val="007E3A0F"/>
    <w:rsid w:val="007F2628"/>
    <w:rsid w:val="007F2FBA"/>
    <w:rsid w:val="007F32F9"/>
    <w:rsid w:val="007F4115"/>
    <w:rsid w:val="00800C3A"/>
    <w:rsid w:val="0080570B"/>
    <w:rsid w:val="0081246C"/>
    <w:rsid w:val="008148E1"/>
    <w:rsid w:val="008319BF"/>
    <w:rsid w:val="008415F0"/>
    <w:rsid w:val="008433C2"/>
    <w:rsid w:val="00844457"/>
    <w:rsid w:val="008454C8"/>
    <w:rsid w:val="00851D78"/>
    <w:rsid w:val="008A016F"/>
    <w:rsid w:val="008A1A0D"/>
    <w:rsid w:val="008A72E1"/>
    <w:rsid w:val="008A76ED"/>
    <w:rsid w:val="008B3C72"/>
    <w:rsid w:val="008C3FFA"/>
    <w:rsid w:val="008C5FED"/>
    <w:rsid w:val="008D0E09"/>
    <w:rsid w:val="008F617E"/>
    <w:rsid w:val="00903007"/>
    <w:rsid w:val="00913F88"/>
    <w:rsid w:val="00923816"/>
    <w:rsid w:val="0092727B"/>
    <w:rsid w:val="0093074B"/>
    <w:rsid w:val="00930E64"/>
    <w:rsid w:val="00943CF9"/>
    <w:rsid w:val="009465A6"/>
    <w:rsid w:val="00953846"/>
    <w:rsid w:val="00956F8C"/>
    <w:rsid w:val="00961665"/>
    <w:rsid w:val="00961D57"/>
    <w:rsid w:val="00966198"/>
    <w:rsid w:val="00976716"/>
    <w:rsid w:val="0097693B"/>
    <w:rsid w:val="00986020"/>
    <w:rsid w:val="00993355"/>
    <w:rsid w:val="009963F7"/>
    <w:rsid w:val="009A11CB"/>
    <w:rsid w:val="009A4A6D"/>
    <w:rsid w:val="009A6107"/>
    <w:rsid w:val="009A6BFC"/>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529BC"/>
    <w:rsid w:val="00A5346C"/>
    <w:rsid w:val="00A53F51"/>
    <w:rsid w:val="00A562F0"/>
    <w:rsid w:val="00A564FB"/>
    <w:rsid w:val="00A614C1"/>
    <w:rsid w:val="00A61EA6"/>
    <w:rsid w:val="00A657BF"/>
    <w:rsid w:val="00A71136"/>
    <w:rsid w:val="00A81CDE"/>
    <w:rsid w:val="00A82CF8"/>
    <w:rsid w:val="00A92578"/>
    <w:rsid w:val="00AA474C"/>
    <w:rsid w:val="00AC35EF"/>
    <w:rsid w:val="00AC4D5B"/>
    <w:rsid w:val="00AC5088"/>
    <w:rsid w:val="00AC6878"/>
    <w:rsid w:val="00AC7BDF"/>
    <w:rsid w:val="00AD1DDB"/>
    <w:rsid w:val="00AD2697"/>
    <w:rsid w:val="00AD771E"/>
    <w:rsid w:val="00AD7E5F"/>
    <w:rsid w:val="00AE3066"/>
    <w:rsid w:val="00AE6518"/>
    <w:rsid w:val="00AF68E4"/>
    <w:rsid w:val="00B00A87"/>
    <w:rsid w:val="00B01AA1"/>
    <w:rsid w:val="00B023E0"/>
    <w:rsid w:val="00B06025"/>
    <w:rsid w:val="00B06581"/>
    <w:rsid w:val="00B14188"/>
    <w:rsid w:val="00B1538A"/>
    <w:rsid w:val="00B30C81"/>
    <w:rsid w:val="00B30DA1"/>
    <w:rsid w:val="00B4793B"/>
    <w:rsid w:val="00B56099"/>
    <w:rsid w:val="00B57D77"/>
    <w:rsid w:val="00B64A60"/>
    <w:rsid w:val="00B65C57"/>
    <w:rsid w:val="00B661AC"/>
    <w:rsid w:val="00B8468D"/>
    <w:rsid w:val="00B937D7"/>
    <w:rsid w:val="00B96B67"/>
    <w:rsid w:val="00BB0EA4"/>
    <w:rsid w:val="00BC28F0"/>
    <w:rsid w:val="00BC57EF"/>
    <w:rsid w:val="00BC69DB"/>
    <w:rsid w:val="00BE1A0E"/>
    <w:rsid w:val="00BE6B6B"/>
    <w:rsid w:val="00BE7681"/>
    <w:rsid w:val="00BF2577"/>
    <w:rsid w:val="00BF25F9"/>
    <w:rsid w:val="00C00B04"/>
    <w:rsid w:val="00C13FD5"/>
    <w:rsid w:val="00C15633"/>
    <w:rsid w:val="00C15799"/>
    <w:rsid w:val="00C32E84"/>
    <w:rsid w:val="00C35415"/>
    <w:rsid w:val="00C357AD"/>
    <w:rsid w:val="00C50AF6"/>
    <w:rsid w:val="00C516C7"/>
    <w:rsid w:val="00C51C5F"/>
    <w:rsid w:val="00C554CC"/>
    <w:rsid w:val="00C6069C"/>
    <w:rsid w:val="00C70477"/>
    <w:rsid w:val="00C74745"/>
    <w:rsid w:val="00C85119"/>
    <w:rsid w:val="00C95572"/>
    <w:rsid w:val="00C95C48"/>
    <w:rsid w:val="00CA41E7"/>
    <w:rsid w:val="00CD170C"/>
    <w:rsid w:val="00CD256B"/>
    <w:rsid w:val="00CD320B"/>
    <w:rsid w:val="00CD3F37"/>
    <w:rsid w:val="00CD5431"/>
    <w:rsid w:val="00CE4B93"/>
    <w:rsid w:val="00CF0971"/>
    <w:rsid w:val="00CF2491"/>
    <w:rsid w:val="00CF3963"/>
    <w:rsid w:val="00D00828"/>
    <w:rsid w:val="00D1252E"/>
    <w:rsid w:val="00D13D9D"/>
    <w:rsid w:val="00D14AFE"/>
    <w:rsid w:val="00D416A3"/>
    <w:rsid w:val="00D459A2"/>
    <w:rsid w:val="00D530FF"/>
    <w:rsid w:val="00D53688"/>
    <w:rsid w:val="00D5407A"/>
    <w:rsid w:val="00D55233"/>
    <w:rsid w:val="00D57772"/>
    <w:rsid w:val="00D72AE3"/>
    <w:rsid w:val="00D75A4D"/>
    <w:rsid w:val="00D80DB5"/>
    <w:rsid w:val="00D8478B"/>
    <w:rsid w:val="00D86151"/>
    <w:rsid w:val="00D9172D"/>
    <w:rsid w:val="00D97E84"/>
    <w:rsid w:val="00DA5641"/>
    <w:rsid w:val="00DA7595"/>
    <w:rsid w:val="00DB0A68"/>
    <w:rsid w:val="00DB5D9B"/>
    <w:rsid w:val="00DC43A3"/>
    <w:rsid w:val="00DC4CF3"/>
    <w:rsid w:val="00DC5C01"/>
    <w:rsid w:val="00DD479F"/>
    <w:rsid w:val="00DD7C09"/>
    <w:rsid w:val="00DF0EB4"/>
    <w:rsid w:val="00DF111E"/>
    <w:rsid w:val="00E0124F"/>
    <w:rsid w:val="00E126F1"/>
    <w:rsid w:val="00E27C63"/>
    <w:rsid w:val="00E4302F"/>
    <w:rsid w:val="00E5762A"/>
    <w:rsid w:val="00E674D3"/>
    <w:rsid w:val="00E70FD0"/>
    <w:rsid w:val="00E72023"/>
    <w:rsid w:val="00E72B2C"/>
    <w:rsid w:val="00E7309D"/>
    <w:rsid w:val="00E77C4B"/>
    <w:rsid w:val="00E9301F"/>
    <w:rsid w:val="00E9690A"/>
    <w:rsid w:val="00E97DC7"/>
    <w:rsid w:val="00EC2408"/>
    <w:rsid w:val="00ED22F1"/>
    <w:rsid w:val="00ED2808"/>
    <w:rsid w:val="00EE5249"/>
    <w:rsid w:val="00F000EF"/>
    <w:rsid w:val="00F2504E"/>
    <w:rsid w:val="00F2585B"/>
    <w:rsid w:val="00F25E51"/>
    <w:rsid w:val="00F4053F"/>
    <w:rsid w:val="00F516E7"/>
    <w:rsid w:val="00F57BF7"/>
    <w:rsid w:val="00F6263E"/>
    <w:rsid w:val="00F627C2"/>
    <w:rsid w:val="00F736FD"/>
    <w:rsid w:val="00F84067"/>
    <w:rsid w:val="00FA3357"/>
    <w:rsid w:val="00FA50B4"/>
    <w:rsid w:val="00FB6E83"/>
    <w:rsid w:val="00FC156A"/>
    <w:rsid w:val="00FC7D19"/>
    <w:rsid w:val="00FD0ACB"/>
    <w:rsid w:val="00FD375D"/>
    <w:rsid w:val="00FD5249"/>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3CDA"/>
    <w:pPr>
      <w:spacing w:before="100" w:beforeAutospacing="1" w:after="100" w:afterAutospacing="1"/>
    </w:pPr>
    <w:rPr>
      <w:rFonts w:eastAsia="Times New Roman"/>
    </w:rPr>
  </w:style>
  <w:style w:type="paragraph" w:customStyle="1" w:styleId="Default">
    <w:name w:val="Default"/>
    <w:rsid w:val="00542C5D"/>
    <w:pPr>
      <w:autoSpaceDE w:val="0"/>
      <w:autoSpaceDN w:val="0"/>
      <w:adjustRightInd w:val="0"/>
    </w:pPr>
    <w:rPr>
      <w:rFonts w:ascii="TH SarabunPSK" w:hAnsi="TH SarabunPSK" w:cs="TH SarabunPSK"/>
      <w:color w:val="000000"/>
      <w:sz w:val="24"/>
      <w:szCs w:val="24"/>
      <w:lang w:bidi="th-TH"/>
    </w:rPr>
  </w:style>
  <w:style w:type="character" w:customStyle="1" w:styleId="ListParagraphChar">
    <w:name w:val="List Paragraph Char"/>
    <w:link w:val="ListParagraph"/>
    <w:uiPriority w:val="34"/>
    <w:locked/>
    <w:rsid w:val="00542C5D"/>
    <w:rPr>
      <w:rFonts w:eastAsia="BatangCh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3CDA"/>
    <w:pPr>
      <w:spacing w:before="100" w:beforeAutospacing="1" w:after="100" w:afterAutospacing="1"/>
    </w:pPr>
    <w:rPr>
      <w:rFonts w:eastAsia="Times New Roman"/>
    </w:rPr>
  </w:style>
  <w:style w:type="paragraph" w:customStyle="1" w:styleId="Default">
    <w:name w:val="Default"/>
    <w:rsid w:val="00542C5D"/>
    <w:pPr>
      <w:autoSpaceDE w:val="0"/>
      <w:autoSpaceDN w:val="0"/>
      <w:adjustRightInd w:val="0"/>
    </w:pPr>
    <w:rPr>
      <w:rFonts w:ascii="TH SarabunPSK" w:hAnsi="TH SarabunPSK" w:cs="TH SarabunPSK"/>
      <w:color w:val="000000"/>
      <w:sz w:val="24"/>
      <w:szCs w:val="24"/>
      <w:lang w:bidi="th-TH"/>
    </w:rPr>
  </w:style>
  <w:style w:type="character" w:customStyle="1" w:styleId="ListParagraphChar">
    <w:name w:val="List Paragraph Char"/>
    <w:link w:val="ListParagraph"/>
    <w:uiPriority w:val="34"/>
    <w:locked/>
    <w:rsid w:val="00542C5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itu.int/md/R15-CPM19.02-R-0001/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2.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4C98-E90C-4F6C-A50F-DFD09947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2015-02-02T07:28:00Z</cp:lastPrinted>
  <dcterms:created xsi:type="dcterms:W3CDTF">2019-08-08T11:34:00Z</dcterms:created>
  <dcterms:modified xsi:type="dcterms:W3CDTF">2019-08-08T11:34:00Z</dcterms:modified>
</cp:coreProperties>
</file>