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00A622AD" w14:textId="77777777" w:rsidTr="007E1FDD">
        <w:trPr>
          <w:cantSplit/>
          <w:trHeight w:val="288"/>
        </w:trPr>
        <w:tc>
          <w:tcPr>
            <w:tcW w:w="1399" w:type="dxa"/>
            <w:vMerge w:val="restart"/>
          </w:tcPr>
          <w:p w14:paraId="1BBC6A93"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965FEAD" wp14:editId="48E80E1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651557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9482AF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1C09F7F" w14:textId="77777777" w:rsidTr="007E7497">
        <w:trPr>
          <w:cantSplit/>
          <w:trHeight w:val="504"/>
        </w:trPr>
        <w:tc>
          <w:tcPr>
            <w:tcW w:w="1399" w:type="dxa"/>
            <w:vMerge/>
          </w:tcPr>
          <w:p w14:paraId="008CF682" w14:textId="77777777" w:rsidR="003D25E1" w:rsidRPr="00891D0B" w:rsidRDefault="003D25E1" w:rsidP="000D7C75"/>
        </w:tc>
        <w:tc>
          <w:tcPr>
            <w:tcW w:w="5760" w:type="dxa"/>
            <w:vAlign w:val="center"/>
          </w:tcPr>
          <w:p w14:paraId="3AD97A6C" w14:textId="77777777" w:rsidR="003D25E1" w:rsidRPr="00891D0B" w:rsidRDefault="00C73F61" w:rsidP="001E1432">
            <w:pPr>
              <w:spacing w:before="40"/>
            </w:pPr>
            <w:r>
              <w:rPr>
                <w:b/>
              </w:rPr>
              <w:t xml:space="preserve">The </w:t>
            </w:r>
            <w:r w:rsidR="00547A21">
              <w:rPr>
                <w:b/>
              </w:rPr>
              <w:t xml:space="preserve">4th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547A21">
              <w:rPr>
                <w:b/>
              </w:rPr>
              <w:t>4</w:t>
            </w:r>
            <w:r w:rsidR="003D25E1">
              <w:rPr>
                <w:b/>
              </w:rPr>
              <w:t>)</w:t>
            </w:r>
          </w:p>
        </w:tc>
        <w:tc>
          <w:tcPr>
            <w:tcW w:w="2160" w:type="dxa"/>
          </w:tcPr>
          <w:p w14:paraId="0C6D2211" w14:textId="6629FC12" w:rsidR="003D25E1" w:rsidRPr="00C05BD3" w:rsidRDefault="001E1432" w:rsidP="002852E8">
            <w:pPr>
              <w:spacing w:before="40"/>
              <w:rPr>
                <w:rFonts w:cstheme="minorBidi"/>
                <w:b/>
                <w:bCs/>
                <w:szCs w:val="30"/>
                <w:lang w:bidi="th-TH"/>
              </w:rPr>
            </w:pPr>
            <w:r>
              <w:rPr>
                <w:b/>
                <w:bCs/>
                <w:lang w:val="fr-FR"/>
              </w:rPr>
              <w:t>APG23-</w:t>
            </w:r>
            <w:r w:rsidR="00547A21">
              <w:rPr>
                <w:b/>
                <w:bCs/>
                <w:lang w:val="fr-FR"/>
              </w:rPr>
              <w:t>4</w:t>
            </w:r>
            <w:r w:rsidR="007E1FDD">
              <w:rPr>
                <w:b/>
                <w:bCs/>
                <w:lang w:val="fr-FR"/>
              </w:rPr>
              <w:t>/</w:t>
            </w:r>
            <w:r w:rsidR="002852E8">
              <w:rPr>
                <w:b/>
                <w:bCs/>
                <w:lang w:val="fr-FR"/>
              </w:rPr>
              <w:t>OUT-</w:t>
            </w:r>
            <w:r w:rsidR="00D35359">
              <w:rPr>
                <w:b/>
                <w:bCs/>
                <w:lang w:val="fr-FR"/>
              </w:rPr>
              <w:t>23</w:t>
            </w:r>
          </w:p>
        </w:tc>
      </w:tr>
      <w:tr w:rsidR="007E1FDD" w:rsidRPr="00891D0B" w14:paraId="11C58FD3" w14:textId="77777777" w:rsidTr="007E1FDD">
        <w:trPr>
          <w:cantSplit/>
          <w:trHeight w:val="288"/>
        </w:trPr>
        <w:tc>
          <w:tcPr>
            <w:tcW w:w="1399" w:type="dxa"/>
            <w:vMerge/>
          </w:tcPr>
          <w:p w14:paraId="65B3A340" w14:textId="77777777" w:rsidR="007E1FDD" w:rsidRPr="007E1FDD" w:rsidRDefault="007E1FDD" w:rsidP="000D7C75">
            <w:pPr>
              <w:rPr>
                <w:lang w:val="en-GB"/>
              </w:rPr>
            </w:pPr>
          </w:p>
        </w:tc>
        <w:tc>
          <w:tcPr>
            <w:tcW w:w="5760" w:type="dxa"/>
            <w:vAlign w:val="bottom"/>
          </w:tcPr>
          <w:p w14:paraId="378ABF78" w14:textId="77777777" w:rsidR="007E1FDD" w:rsidRPr="00712451" w:rsidRDefault="00547A21" w:rsidP="00C73F61">
            <w:pPr>
              <w:spacing w:before="40"/>
              <w:rPr>
                <w:b/>
              </w:rPr>
            </w:pPr>
            <w:r>
              <w:t>15</w:t>
            </w:r>
            <w:r w:rsidR="00C73F61">
              <w:t xml:space="preserve"> – </w:t>
            </w:r>
            <w:r>
              <w:t>20</w:t>
            </w:r>
            <w:r w:rsidR="007E1FDD">
              <w:t xml:space="preserve"> </w:t>
            </w:r>
            <w:r w:rsidR="00DB76DD">
              <w:t>August</w:t>
            </w:r>
            <w:r w:rsidR="006529D3">
              <w:t xml:space="preserve"> </w:t>
            </w:r>
            <w:r w:rsidR="007E1FDD">
              <w:t>20</w:t>
            </w:r>
            <w:r w:rsidR="00EC249E">
              <w:t>2</w:t>
            </w:r>
            <w:r>
              <w:t>2</w:t>
            </w:r>
            <w:r w:rsidR="007E1FDD" w:rsidRPr="00891D0B">
              <w:t xml:space="preserve">, </w:t>
            </w:r>
            <w:r>
              <w:t>Bangkok, Thailand</w:t>
            </w:r>
          </w:p>
        </w:tc>
        <w:tc>
          <w:tcPr>
            <w:tcW w:w="2160" w:type="dxa"/>
            <w:vAlign w:val="bottom"/>
          </w:tcPr>
          <w:p w14:paraId="60E023AD" w14:textId="03B94B10" w:rsidR="007E1FDD" w:rsidRPr="007E1FDD" w:rsidRDefault="003E24F5" w:rsidP="00C73F61">
            <w:pPr>
              <w:spacing w:before="40"/>
              <w:rPr>
                <w:bCs/>
              </w:rPr>
            </w:pPr>
            <w:r>
              <w:rPr>
                <w:bCs/>
              </w:rPr>
              <w:t>20</w:t>
            </w:r>
            <w:r w:rsidR="00A05851">
              <w:rPr>
                <w:bCs/>
              </w:rPr>
              <w:t xml:space="preserve"> </w:t>
            </w:r>
            <w:r w:rsidR="00547A21">
              <w:rPr>
                <w:bCs/>
              </w:rPr>
              <w:t xml:space="preserve">August </w:t>
            </w:r>
            <w:r w:rsidR="007E1FDD" w:rsidRPr="007E1FDD">
              <w:rPr>
                <w:bCs/>
              </w:rPr>
              <w:t>20</w:t>
            </w:r>
            <w:r w:rsidR="00EC249E">
              <w:rPr>
                <w:bCs/>
              </w:rPr>
              <w:t>2</w:t>
            </w:r>
            <w:r w:rsidR="00547A21">
              <w:rPr>
                <w:bCs/>
              </w:rPr>
              <w:t>2</w:t>
            </w:r>
          </w:p>
        </w:tc>
      </w:tr>
    </w:tbl>
    <w:p w14:paraId="632B3B50" w14:textId="77777777" w:rsidR="007E7497" w:rsidRPr="00051E1E" w:rsidRDefault="007E7497" w:rsidP="00DA7595">
      <w:pPr>
        <w:rPr>
          <w:lang w:eastAsia="ko-KR"/>
        </w:rPr>
      </w:pPr>
    </w:p>
    <w:p w14:paraId="0C8F459B" w14:textId="77777777" w:rsidR="00FF72BB" w:rsidRDefault="00FF72BB" w:rsidP="00DA7595">
      <w:pPr>
        <w:jc w:val="center"/>
        <w:rPr>
          <w:lang w:eastAsia="ko-KR"/>
        </w:rPr>
      </w:pPr>
    </w:p>
    <w:p w14:paraId="75BF7400" w14:textId="2543D423" w:rsidR="00846E15" w:rsidRPr="00846E15" w:rsidRDefault="002852E8" w:rsidP="00846E15">
      <w:pPr>
        <w:jc w:val="center"/>
        <w:rPr>
          <w:rFonts w:cs="Angsana New"/>
          <w:szCs w:val="30"/>
          <w:lang w:eastAsia="ko-KR" w:bidi="th-TH"/>
        </w:rPr>
      </w:pPr>
      <w:r>
        <w:rPr>
          <w:rFonts w:cs="Angsana New"/>
          <w:szCs w:val="30"/>
          <w:lang w:eastAsia="ko-KR" w:bidi="th-TH"/>
        </w:rPr>
        <w:t>Working Party 3</w:t>
      </w:r>
    </w:p>
    <w:p w14:paraId="4CD223E7" w14:textId="77777777" w:rsidR="00846E15" w:rsidRPr="00846E15" w:rsidRDefault="00846E15" w:rsidP="00846E15">
      <w:pPr>
        <w:jc w:val="center"/>
        <w:rPr>
          <w:rFonts w:cs="Angsana New"/>
          <w:szCs w:val="30"/>
          <w:lang w:eastAsia="ko-KR" w:bidi="th-TH"/>
        </w:rPr>
      </w:pPr>
    </w:p>
    <w:p w14:paraId="34B83128" w14:textId="2C95AB99" w:rsidR="00846E15" w:rsidRPr="00846E15" w:rsidRDefault="00846E15" w:rsidP="00846E15">
      <w:pPr>
        <w:spacing w:after="120"/>
        <w:jc w:val="center"/>
        <w:rPr>
          <w:b/>
          <w:bCs/>
          <w:caps/>
        </w:rPr>
      </w:pPr>
      <w:r w:rsidRPr="00846E15">
        <w:rPr>
          <w:b/>
          <w:bCs/>
          <w:caps/>
        </w:rPr>
        <w:t>preliminary views on WRC-23 agenda item 1.14</w:t>
      </w:r>
    </w:p>
    <w:p w14:paraId="19429603" w14:textId="77777777" w:rsidR="00846E15" w:rsidRPr="00846E15" w:rsidRDefault="00846E15" w:rsidP="00846E15">
      <w:pPr>
        <w:rPr>
          <w:lang w:val="en-GB"/>
        </w:rPr>
      </w:pPr>
    </w:p>
    <w:p w14:paraId="2A81B9B2" w14:textId="77777777" w:rsidR="00846E15" w:rsidRPr="00846E15" w:rsidRDefault="00846E15" w:rsidP="00846E15">
      <w:pPr>
        <w:spacing w:after="120"/>
        <w:jc w:val="both"/>
        <w:rPr>
          <w:lang w:val="en-NZ"/>
        </w:rPr>
      </w:pPr>
      <w:bookmarkStart w:id="0" w:name="_Hlk111234321"/>
      <w:r w:rsidRPr="00846E15">
        <w:rPr>
          <w:b/>
          <w:lang w:val="en-NZ"/>
        </w:rPr>
        <w:t xml:space="preserve">Agenda Item 1.14: </w:t>
      </w:r>
    </w:p>
    <w:p w14:paraId="4DBDBBE1" w14:textId="77777777" w:rsidR="00846E15" w:rsidRPr="00846E15" w:rsidRDefault="00846E15" w:rsidP="00846E15">
      <w:pPr>
        <w:spacing w:after="120"/>
        <w:jc w:val="both"/>
        <w:rPr>
          <w:i/>
          <w:iCs/>
          <w:sz w:val="22"/>
          <w:szCs w:val="22"/>
        </w:rPr>
      </w:pPr>
      <w:r w:rsidRPr="00846E15">
        <w:rPr>
          <w:i/>
          <w:iCs/>
          <w:sz w:val="22"/>
          <w:szCs w:val="22"/>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846E15">
        <w:rPr>
          <w:b/>
          <w:bCs/>
          <w:i/>
          <w:iCs/>
          <w:sz w:val="22"/>
          <w:szCs w:val="22"/>
        </w:rPr>
        <w:t>662 (WRC-19</w:t>
      </w:r>
      <w:proofErr w:type="gramStart"/>
      <w:r w:rsidRPr="00846E15">
        <w:rPr>
          <w:b/>
          <w:bCs/>
          <w:i/>
          <w:iCs/>
          <w:sz w:val="22"/>
          <w:szCs w:val="22"/>
        </w:rPr>
        <w:t>)</w:t>
      </w:r>
      <w:r w:rsidRPr="00846E15">
        <w:rPr>
          <w:i/>
          <w:iCs/>
          <w:sz w:val="22"/>
          <w:szCs w:val="22"/>
        </w:rPr>
        <w:t>;</w:t>
      </w:r>
      <w:proofErr w:type="gramEnd"/>
      <w:r w:rsidRPr="00846E15">
        <w:rPr>
          <w:i/>
          <w:iCs/>
          <w:sz w:val="22"/>
          <w:szCs w:val="22"/>
        </w:rPr>
        <w:t xml:space="preserve"> </w:t>
      </w:r>
    </w:p>
    <w:bookmarkEnd w:id="0"/>
    <w:p w14:paraId="02DD74E4" w14:textId="77777777" w:rsidR="00846E15" w:rsidRPr="00846E15" w:rsidRDefault="00846E15" w:rsidP="00846E15">
      <w:pPr>
        <w:rPr>
          <w:sz w:val="10"/>
          <w:szCs w:val="10"/>
          <w:lang w:val="en-NZ"/>
        </w:rPr>
      </w:pPr>
    </w:p>
    <w:p w14:paraId="04DA139E" w14:textId="77777777" w:rsidR="00846E15" w:rsidRPr="00846E15" w:rsidRDefault="00846E15" w:rsidP="00846E15">
      <w:pPr>
        <w:keepNext/>
        <w:spacing w:afterLines="50" w:after="120"/>
        <w:ind w:left="420" w:hanging="420"/>
        <w:outlineLvl w:val="0"/>
        <w:rPr>
          <w:bCs/>
          <w:lang w:val="en-GB" w:eastAsia="ko-KR"/>
        </w:rPr>
      </w:pPr>
      <w:r w:rsidRPr="00846E15">
        <w:rPr>
          <w:b/>
          <w:bCs/>
          <w:lang w:val="en-GB" w:eastAsia="ko-KR"/>
        </w:rPr>
        <w:t xml:space="preserve">1. </w:t>
      </w:r>
      <w:r w:rsidRPr="00846E15">
        <w:rPr>
          <w:b/>
          <w:bCs/>
          <w:lang w:val="en-GB" w:eastAsia="ko-KR"/>
        </w:rPr>
        <w:tab/>
      </w:r>
      <w:r w:rsidRPr="00846E15">
        <w:rPr>
          <w:b/>
          <w:bCs/>
          <w:lang w:val="en-GB"/>
        </w:rPr>
        <w:t>Background</w:t>
      </w:r>
    </w:p>
    <w:p w14:paraId="46D8F16C" w14:textId="77777777" w:rsidR="00BF0F3E" w:rsidRPr="00AA2C5D" w:rsidRDefault="00BF0F3E" w:rsidP="00AA2C5D">
      <w:pPr>
        <w:spacing w:after="120"/>
        <w:jc w:val="both"/>
        <w:rPr>
          <w:bCs/>
          <w:lang w:val="en-NZ" w:eastAsia="ko-KR"/>
        </w:rPr>
      </w:pPr>
      <w:r w:rsidRPr="00AA2C5D">
        <w:rPr>
          <w:rFonts w:eastAsia="Times New Roman"/>
          <w:lang w:val="en-GB"/>
        </w:rPr>
        <w:t xml:space="preserve">The scientific and technology developments for passive microwave sensor measurements have evolved over the last 20 years. </w:t>
      </w:r>
      <w:r w:rsidRPr="00AA2C5D">
        <w:rPr>
          <w:bCs/>
          <w:lang w:val="en-NZ" w:eastAsia="ko-KR"/>
        </w:rPr>
        <w:t xml:space="preserve">WRC-2000 were agreed under the AI 1.16 to assign the frequency bands of </w:t>
      </w:r>
      <w:r w:rsidRPr="00AA2C5D">
        <w:rPr>
          <w:rFonts w:eastAsia="Times New Roman"/>
          <w:lang w:val="en-GB"/>
        </w:rPr>
        <w:t xml:space="preserve">235-238 GHz and 250-252 GHz within the frequency range of 231.5-252 GHz for the earth exploration satellite service (EESS) (passive) for the use of passive microwave remote sensing systems. It is appropriate to ensure that the frequency allocations to the EESS (passive) agreed in 2000 correspond to up-to-date observation requirements for passive microwave sensing. </w:t>
      </w:r>
      <w:r w:rsidRPr="00AA2C5D">
        <w:rPr>
          <w:bCs/>
          <w:lang w:val="en-NZ" w:eastAsia="ko-KR"/>
        </w:rPr>
        <w:t>S</w:t>
      </w:r>
      <w:proofErr w:type="spellStart"/>
      <w:r w:rsidRPr="00AA2C5D">
        <w:rPr>
          <w:rFonts w:eastAsia="Times New Roman"/>
          <w:lang w:val="en-GB"/>
        </w:rPr>
        <w:t>ome</w:t>
      </w:r>
      <w:proofErr w:type="spellEnd"/>
      <w:r w:rsidRPr="00AA2C5D">
        <w:rPr>
          <w:rFonts w:eastAsia="Times New Roman"/>
          <w:lang w:val="en-GB"/>
        </w:rPr>
        <w:t xml:space="preserve"> passive sensor systems under development plan to operate on some channels in the frequency range 239-248 GHz, given the specific characteristics of this frequency band for ice</w:t>
      </w:r>
      <w:r w:rsidRPr="00AA2C5D">
        <w:rPr>
          <w:rFonts w:eastAsia="Times New Roman"/>
          <w:lang w:val="en-GB"/>
        </w:rPr>
        <w:noBreakHyphen/>
        <w:t xml:space="preserve">cloud analysis. </w:t>
      </w:r>
      <w:r w:rsidRPr="00AA2C5D">
        <w:rPr>
          <w:bCs/>
          <w:lang w:val="en-NZ" w:eastAsia="ko-KR"/>
        </w:rPr>
        <w:t>A</w:t>
      </w:r>
      <w:proofErr w:type="spellStart"/>
      <w:r w:rsidRPr="00AA2C5D">
        <w:rPr>
          <w:rFonts w:eastAsia="Times New Roman"/>
          <w:lang w:val="en-GB"/>
        </w:rPr>
        <w:t>s</w:t>
      </w:r>
      <w:proofErr w:type="spellEnd"/>
      <w:r w:rsidRPr="00AA2C5D">
        <w:rPr>
          <w:rFonts w:eastAsia="Times New Roman"/>
          <w:lang w:val="en-GB"/>
        </w:rPr>
        <w:t xml:space="preserve"> a result, it may be necessary to consider some adjustment/extension of the EESS (passive) allocations within the frequency range 231.5-252 GHz and the effect on the other primary services in the frequency range 231.5-252 GHz would have to be studied and the EESS (passive) allocations possibly adjusted.</w:t>
      </w:r>
    </w:p>
    <w:p w14:paraId="091F2BB2" w14:textId="41659C84" w:rsidR="00BF0F3E" w:rsidRDefault="00BF0F3E" w:rsidP="00AA2C5D">
      <w:pPr>
        <w:tabs>
          <w:tab w:val="left" w:pos="1134"/>
          <w:tab w:val="left" w:pos="1871"/>
          <w:tab w:val="left" w:pos="2268"/>
        </w:tabs>
        <w:overflowPunct w:val="0"/>
        <w:autoSpaceDE w:val="0"/>
        <w:autoSpaceDN w:val="0"/>
        <w:adjustRightInd w:val="0"/>
        <w:spacing w:before="120"/>
        <w:jc w:val="both"/>
        <w:textAlignment w:val="baseline"/>
        <w:rPr>
          <w:rFonts w:eastAsia="Times New Roman"/>
          <w:lang w:val="en-GB"/>
        </w:rPr>
      </w:pPr>
      <w:r w:rsidRPr="00AA2C5D">
        <w:rPr>
          <w:iCs/>
        </w:rPr>
        <w:t xml:space="preserve">ITU-R Working Party (WP) 7C is responsible to study this issue under agenda item 1.14. </w:t>
      </w:r>
      <w:r w:rsidRPr="00AA2C5D">
        <w:t xml:space="preserve">WP 7C received several </w:t>
      </w:r>
      <w:proofErr w:type="gramStart"/>
      <w:r w:rsidRPr="00AA2C5D">
        <w:t>reply</w:t>
      </w:r>
      <w:proofErr w:type="gramEnd"/>
      <w:r w:rsidRPr="00AA2C5D">
        <w:t xml:space="preserve"> liaisons statements from contributing groups containing relevant technical and operating characteristics and protection criteria for other services. Contribution was received from the United States (</w:t>
      </w:r>
      <w:r w:rsidRPr="00AA2C5D">
        <w:rPr>
          <w:rFonts w:eastAsia="Calibri"/>
          <w:lang w:val="en-GB"/>
        </w:rPr>
        <w:t>Annex 21 to Document 7C/105-E)</w:t>
      </w:r>
      <w:r w:rsidRPr="00AA2C5D">
        <w:t xml:space="preserve"> which will </w:t>
      </w:r>
      <w:r w:rsidRPr="00AA2C5D">
        <w:rPr>
          <w:rFonts w:eastAsia="Calibri"/>
          <w:lang w:val="en-GB"/>
        </w:rPr>
        <w:t xml:space="preserve">contribute to review the existing primary allocations to the EESS (passive) in the frequency range 231.5-252 GHz to show the allocations relative to observation requirements of passive microwave sensors. This document could lead to a future ITU-R report. </w:t>
      </w:r>
      <w:r w:rsidRPr="00AA2C5D">
        <w:rPr>
          <w:rFonts w:eastAsia="Times New Roman"/>
          <w:lang w:val="en-GB"/>
        </w:rPr>
        <w:t>In addition of that s</w:t>
      </w:r>
      <w:r w:rsidRPr="00AA2C5D">
        <w:rPr>
          <w:rFonts w:eastAsia="Times New Roman"/>
          <w:lang w:val="en-GB" w:eastAsia="zh-CN"/>
        </w:rPr>
        <w:t>tudies related to possible EESS (passive) allocations in the frequency range 231.5-252 GHz</w:t>
      </w:r>
      <w:r w:rsidRPr="00AA2C5D">
        <w:rPr>
          <w:rFonts w:eastAsia="Times New Roman"/>
          <w:lang w:val="en-GB"/>
        </w:rPr>
        <w:t xml:space="preserve"> and working party responses are documented at </w:t>
      </w:r>
      <w:r w:rsidR="00174FC3" w:rsidRPr="00AA2C5D">
        <w:rPr>
          <w:rFonts w:eastAsia="Times New Roman"/>
          <w:bCs/>
          <w:lang w:val="en-GB" w:eastAsia="zh-CN"/>
        </w:rPr>
        <w:t>Chairmans report of WP 7C</w:t>
      </w:r>
      <w:r w:rsidRPr="00AA2C5D">
        <w:rPr>
          <w:rFonts w:eastAsia="Times New Roman"/>
          <w:color w:val="0000FF"/>
          <w:lang w:val="en-GB"/>
        </w:rPr>
        <w:t xml:space="preserve">. </w:t>
      </w:r>
      <w:r w:rsidRPr="00AA2C5D">
        <w:rPr>
          <w:rFonts w:eastAsia="Times New Roman"/>
          <w:lang w:val="en-GB"/>
        </w:rPr>
        <w:t xml:space="preserve">Another contribution received from European Space Agency, European Organisation for the Exploitation of Meteorological Satellites (Document </w:t>
      </w:r>
      <w:hyperlink r:id="rId9" w:history="1">
        <w:r w:rsidRPr="00AA2C5D">
          <w:rPr>
            <w:rFonts w:eastAsia="Times New Roman"/>
            <w:color w:val="0000FF"/>
            <w:lang w:val="en-GB"/>
          </w:rPr>
          <w:t>7C/59</w:t>
        </w:r>
      </w:hyperlink>
      <w:r w:rsidRPr="00AA2C5D">
        <w:rPr>
          <w:rFonts w:eastAsia="Times New Roman"/>
          <w:color w:val="0000FF"/>
          <w:lang w:val="en-GB"/>
        </w:rPr>
        <w:t xml:space="preserve">). </w:t>
      </w:r>
      <w:r w:rsidRPr="00AA2C5D">
        <w:rPr>
          <w:rFonts w:eastAsia="Times New Roman"/>
          <w:lang w:val="en-GB"/>
        </w:rPr>
        <w:t xml:space="preserve">This contribution provides information on the Ice Cloud Imager (ICI) instrument of the second generation of the EUMETSAT Polar System (EPS-SG)) and its relevance under WRC-23 Agenda Item 1.14 considerations. </w:t>
      </w:r>
      <w:bookmarkStart w:id="1" w:name="dbreak"/>
      <w:bookmarkEnd w:id="1"/>
      <w:r w:rsidRPr="00AA2C5D">
        <w:rPr>
          <w:rFonts w:eastAsia="Times New Roman"/>
          <w:lang w:val="en-GB"/>
        </w:rPr>
        <w:t xml:space="preserve">Working document towards preliminary draft CPM text on WRC-23 agenda item 1.14 has been presented in the WP 7C chairman’s report </w:t>
      </w:r>
      <w:r w:rsidR="00F919CE" w:rsidRPr="00AA2C5D">
        <w:rPr>
          <w:rFonts w:eastAsia="Times New Roman"/>
          <w:lang w:val="en-GB"/>
        </w:rPr>
        <w:t>Annex</w:t>
      </w:r>
      <w:r w:rsidR="001C320C" w:rsidRPr="00AA2C5D">
        <w:rPr>
          <w:rFonts w:eastAsia="Times New Roman"/>
          <w:lang w:val="en-GB"/>
        </w:rPr>
        <w:t>-</w:t>
      </w:r>
      <w:r w:rsidR="00F919CE" w:rsidRPr="00AA2C5D">
        <w:rPr>
          <w:rFonts w:eastAsia="Times New Roman"/>
          <w:lang w:val="en-GB"/>
        </w:rPr>
        <w:t>31 [Doc-7C/316, Doc-7</w:t>
      </w:r>
      <w:r w:rsidR="001C320C" w:rsidRPr="00AA2C5D">
        <w:rPr>
          <w:rFonts w:eastAsia="Times New Roman"/>
          <w:lang w:val="en-GB"/>
        </w:rPr>
        <w:t>C</w:t>
      </w:r>
      <w:r w:rsidR="00F919CE" w:rsidRPr="00AA2C5D">
        <w:rPr>
          <w:rFonts w:eastAsia="Times New Roman"/>
          <w:lang w:val="en-GB"/>
        </w:rPr>
        <w:t>/317 and Doc-7</w:t>
      </w:r>
      <w:r w:rsidR="001C320C" w:rsidRPr="00AA2C5D">
        <w:rPr>
          <w:rFonts w:eastAsia="Times New Roman"/>
          <w:lang w:val="en-GB"/>
        </w:rPr>
        <w:t>C</w:t>
      </w:r>
      <w:r w:rsidR="00F919CE" w:rsidRPr="00AA2C5D">
        <w:rPr>
          <w:rFonts w:eastAsia="Times New Roman"/>
          <w:lang w:val="en-GB"/>
        </w:rPr>
        <w:t>/350]</w:t>
      </w:r>
      <w:r w:rsidRPr="00AA2C5D">
        <w:rPr>
          <w:rFonts w:eastAsia="Times New Roman"/>
          <w:lang w:val="en-GB"/>
        </w:rPr>
        <w:t xml:space="preserve">. </w:t>
      </w:r>
    </w:p>
    <w:p w14:paraId="72323F8E" w14:textId="77777777" w:rsidR="00AA2C5D" w:rsidRPr="00AA2C5D" w:rsidRDefault="00AA2C5D" w:rsidP="00AA2C5D">
      <w:pPr>
        <w:tabs>
          <w:tab w:val="left" w:pos="1134"/>
          <w:tab w:val="left" w:pos="1871"/>
          <w:tab w:val="left" w:pos="2268"/>
        </w:tabs>
        <w:overflowPunct w:val="0"/>
        <w:autoSpaceDE w:val="0"/>
        <w:autoSpaceDN w:val="0"/>
        <w:adjustRightInd w:val="0"/>
        <w:spacing w:before="120"/>
        <w:jc w:val="both"/>
        <w:textAlignment w:val="baseline"/>
        <w:rPr>
          <w:rFonts w:eastAsia="Times New Roman"/>
          <w:lang w:val="en-GB"/>
        </w:rPr>
      </w:pPr>
    </w:p>
    <w:p w14:paraId="586F95DA" w14:textId="77777777" w:rsidR="00846E15" w:rsidRPr="00846E15" w:rsidRDefault="00846E15" w:rsidP="00846E15">
      <w:pPr>
        <w:keepNext/>
        <w:spacing w:afterLines="50" w:after="120"/>
        <w:ind w:left="420" w:hanging="420"/>
        <w:outlineLvl w:val="0"/>
        <w:rPr>
          <w:bCs/>
          <w:lang w:val="en-GB" w:eastAsia="ko-KR"/>
        </w:rPr>
      </w:pPr>
      <w:r w:rsidRPr="00846E15">
        <w:rPr>
          <w:b/>
          <w:bCs/>
          <w:lang w:val="en-GB" w:eastAsia="ko-KR"/>
        </w:rPr>
        <w:t xml:space="preserve">2. </w:t>
      </w:r>
      <w:r w:rsidRPr="00846E15">
        <w:rPr>
          <w:b/>
          <w:bCs/>
          <w:lang w:val="en-GB" w:eastAsia="ko-KR"/>
        </w:rPr>
        <w:tab/>
      </w:r>
      <w:r w:rsidRPr="00846E15">
        <w:rPr>
          <w:b/>
          <w:bCs/>
          <w:lang w:val="en-GB"/>
        </w:rPr>
        <w:t>Documents</w:t>
      </w:r>
    </w:p>
    <w:p w14:paraId="4BD4B23F" w14:textId="0FA69D38" w:rsidR="00846E15" w:rsidRPr="00846E15" w:rsidRDefault="00846E15" w:rsidP="00846E15">
      <w:pPr>
        <w:rPr>
          <w:lang w:val="en-NZ"/>
        </w:rPr>
      </w:pPr>
      <w:r w:rsidRPr="00846E15">
        <w:rPr>
          <w:lang w:val="en-NZ"/>
        </w:rPr>
        <w:t xml:space="preserve">-Input Documents: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Pr="00846E15">
        <w:rPr>
          <w:lang w:val="en-NZ"/>
        </w:rPr>
        <w:t>INP-09(</w:t>
      </w:r>
      <w:r w:rsidR="00DD6DB7">
        <w:rPr>
          <w:lang w:val="en-NZ"/>
        </w:rPr>
        <w:t>JPN</w:t>
      </w:r>
      <w:r w:rsidRPr="00846E15">
        <w:rPr>
          <w:lang w:val="en-NZ"/>
        </w:rPr>
        <w:t xml:space="preserve">),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Pr="00846E15">
        <w:rPr>
          <w:lang w:val="en-NZ"/>
        </w:rPr>
        <w:t>INP-</w:t>
      </w:r>
      <w:r w:rsidR="00DD6DB7">
        <w:rPr>
          <w:lang w:val="en-NZ"/>
        </w:rPr>
        <w:t>1</w:t>
      </w:r>
      <w:r w:rsidRPr="00846E15">
        <w:rPr>
          <w:lang w:val="en-NZ"/>
        </w:rPr>
        <w:t>6(</w:t>
      </w:r>
      <w:r w:rsidR="00DD6DB7">
        <w:rPr>
          <w:lang w:val="en-NZ"/>
        </w:rPr>
        <w:t>AUS</w:t>
      </w:r>
      <w:r w:rsidRPr="00846E15">
        <w:rPr>
          <w:lang w:val="en-NZ"/>
        </w:rPr>
        <w:t xml:space="preserve">),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Pr="00846E15">
        <w:rPr>
          <w:lang w:val="en-NZ"/>
        </w:rPr>
        <w:t>INP-</w:t>
      </w:r>
      <w:r w:rsidR="00DD6DB7">
        <w:rPr>
          <w:lang w:val="en-NZ"/>
        </w:rPr>
        <w:t>21</w:t>
      </w:r>
      <w:r w:rsidRPr="00846E15">
        <w:rPr>
          <w:lang w:val="en-NZ"/>
        </w:rPr>
        <w:t>(</w:t>
      </w:r>
      <w:r w:rsidR="00DD6DB7">
        <w:rPr>
          <w:lang w:val="en-NZ"/>
        </w:rPr>
        <w:t>BGD</w:t>
      </w:r>
      <w:r w:rsidRPr="00846E15">
        <w:rPr>
          <w:lang w:val="en-NZ"/>
        </w:rPr>
        <w:t xml:space="preserve">),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Pr="00846E15">
        <w:rPr>
          <w:lang w:val="en-NZ"/>
        </w:rPr>
        <w:t>INP-</w:t>
      </w:r>
      <w:r w:rsidR="00DD6DB7">
        <w:rPr>
          <w:lang w:val="en-NZ"/>
        </w:rPr>
        <w:t>36</w:t>
      </w:r>
      <w:r w:rsidRPr="00846E15">
        <w:rPr>
          <w:lang w:val="en-NZ"/>
        </w:rPr>
        <w:t>(</w:t>
      </w:r>
      <w:r w:rsidR="00DD6DB7">
        <w:rPr>
          <w:lang w:val="en-NZ"/>
        </w:rPr>
        <w:t>KOR</w:t>
      </w:r>
      <w:r w:rsidRPr="00846E15">
        <w:rPr>
          <w:lang w:val="en-NZ"/>
        </w:rPr>
        <w:t>)</w:t>
      </w:r>
      <w:r w:rsidR="00DD6DB7">
        <w:rPr>
          <w:lang w:val="en-NZ"/>
        </w:rPr>
        <w:t xml:space="preserve">,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00DD6DB7">
        <w:rPr>
          <w:lang w:val="en-NZ"/>
        </w:rPr>
        <w:t xml:space="preserve">INP-42(CHN),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00DD6DB7">
        <w:rPr>
          <w:lang w:val="en-NZ"/>
        </w:rPr>
        <w:t>INP-63(IND),</w:t>
      </w:r>
      <w:r w:rsidR="00FD7393" w:rsidRPr="00FD7393">
        <w:rPr>
          <w:lang w:val="en-NZ"/>
        </w:rPr>
        <w:t xml:space="preserve"> </w:t>
      </w:r>
      <w:r w:rsidR="00FD7393" w:rsidRPr="00441526">
        <w:rPr>
          <w:lang w:val="en-NZ"/>
        </w:rPr>
        <w:t>APG</w:t>
      </w:r>
      <w:r w:rsidR="00FD7393">
        <w:rPr>
          <w:lang w:val="en-NZ"/>
        </w:rPr>
        <w:t>23</w:t>
      </w:r>
      <w:r w:rsidR="00FD7393" w:rsidRPr="00441526">
        <w:rPr>
          <w:lang w:val="en-NZ"/>
        </w:rPr>
        <w:t>-</w:t>
      </w:r>
      <w:r w:rsidR="00FD7393">
        <w:rPr>
          <w:lang w:val="en-NZ"/>
        </w:rPr>
        <w:t>4</w:t>
      </w:r>
      <w:r w:rsidR="00FD7393" w:rsidRPr="00441526">
        <w:rPr>
          <w:lang w:val="en-NZ"/>
        </w:rPr>
        <w:t>/</w:t>
      </w:r>
      <w:r w:rsidR="00DD6DB7">
        <w:rPr>
          <w:lang w:val="en-NZ"/>
        </w:rPr>
        <w:t>INP-68(MLA)</w:t>
      </w:r>
    </w:p>
    <w:p w14:paraId="39C703DD" w14:textId="77777777" w:rsidR="00846E15" w:rsidRPr="00846E15" w:rsidRDefault="00846E15" w:rsidP="00846E15">
      <w:pPr>
        <w:rPr>
          <w:lang w:val="en-NZ"/>
        </w:rPr>
      </w:pPr>
    </w:p>
    <w:p w14:paraId="22EBFB1F" w14:textId="73B7224B" w:rsidR="00846E15" w:rsidRDefault="00846E15" w:rsidP="00846E15">
      <w:pPr>
        <w:rPr>
          <w:rFonts w:eastAsia="MS Mincho"/>
          <w:lang w:val="en-GB" w:eastAsia="ja-JP"/>
        </w:rPr>
      </w:pPr>
      <w:r w:rsidRPr="00846E15">
        <w:rPr>
          <w:lang w:val="en-NZ"/>
        </w:rPr>
        <w:lastRenderedPageBreak/>
        <w:t>-</w:t>
      </w:r>
      <w:r w:rsidRPr="00846E15">
        <w:rPr>
          <w:lang w:val="en-GB"/>
        </w:rPr>
        <w:t xml:space="preserve"> Information Documents</w:t>
      </w:r>
      <w:r w:rsidRPr="00846E15">
        <w:rPr>
          <w:rFonts w:eastAsia="MS Mincho"/>
          <w:lang w:val="en-GB" w:eastAsia="ja-JP"/>
        </w:rPr>
        <w:t>:</w:t>
      </w:r>
      <w:r w:rsidRPr="00846E15">
        <w:rPr>
          <w:lang w:val="en-GB"/>
        </w:rPr>
        <w:t xml:space="preserve"> </w:t>
      </w:r>
      <w:r w:rsidR="00B9722C" w:rsidRPr="005C1365">
        <w:rPr>
          <w:bCs/>
          <w:lang w:val="en-NZ" w:eastAsia="ko-KR"/>
        </w:rPr>
        <w:t xml:space="preserve">APG23-4/INF-01, </w:t>
      </w:r>
      <w:r w:rsidR="0032142F" w:rsidRPr="00441526">
        <w:rPr>
          <w:lang w:val="en-NZ"/>
        </w:rPr>
        <w:t>APG</w:t>
      </w:r>
      <w:r w:rsidR="0032142F">
        <w:rPr>
          <w:lang w:val="en-NZ"/>
        </w:rPr>
        <w:t>23</w:t>
      </w:r>
      <w:r w:rsidR="0032142F" w:rsidRPr="00441526">
        <w:rPr>
          <w:lang w:val="en-NZ"/>
        </w:rPr>
        <w:t>-</w:t>
      </w:r>
      <w:r w:rsidR="0032142F">
        <w:rPr>
          <w:lang w:val="en-NZ"/>
        </w:rPr>
        <w:t>4</w:t>
      </w:r>
      <w:r w:rsidR="0032142F" w:rsidRPr="00441526">
        <w:rPr>
          <w:lang w:val="en-NZ"/>
        </w:rPr>
        <w:t>/</w:t>
      </w:r>
      <w:r w:rsidRPr="00846E15">
        <w:rPr>
          <w:bCs/>
          <w:lang w:val="en-NZ" w:eastAsia="ko-KR"/>
        </w:rPr>
        <w:t>INF-</w:t>
      </w:r>
      <w:r w:rsidR="00835C85">
        <w:rPr>
          <w:bCs/>
          <w:lang w:val="en-NZ" w:eastAsia="ko-KR"/>
        </w:rPr>
        <w:t>03</w:t>
      </w:r>
      <w:r w:rsidRPr="00846E15">
        <w:rPr>
          <w:bCs/>
          <w:lang w:val="en-NZ" w:eastAsia="ko-KR"/>
        </w:rPr>
        <w:t xml:space="preserve"> (</w:t>
      </w:r>
      <w:r w:rsidR="00835C85">
        <w:rPr>
          <w:bCs/>
          <w:lang w:val="en-NZ" w:eastAsia="ko-KR"/>
        </w:rPr>
        <w:t>WMO</w:t>
      </w:r>
      <w:r w:rsidRPr="00846E15">
        <w:rPr>
          <w:bCs/>
          <w:lang w:val="en-NZ" w:eastAsia="ko-KR"/>
        </w:rPr>
        <w:t>),</w:t>
      </w:r>
      <w:r w:rsidR="0032142F" w:rsidRPr="0032142F">
        <w:rPr>
          <w:lang w:val="en-NZ"/>
        </w:rPr>
        <w:t xml:space="preserve"> </w:t>
      </w:r>
      <w:r w:rsidR="0039223B">
        <w:rPr>
          <w:lang w:val="en-NZ"/>
        </w:rPr>
        <w:t xml:space="preserve">APG23-4/INF-21 (ASMG), </w:t>
      </w:r>
      <w:r w:rsidR="0032142F" w:rsidRPr="00441526">
        <w:rPr>
          <w:lang w:val="en-NZ"/>
        </w:rPr>
        <w:t>APG</w:t>
      </w:r>
      <w:r w:rsidR="0032142F">
        <w:rPr>
          <w:lang w:val="en-NZ"/>
        </w:rPr>
        <w:t>23</w:t>
      </w:r>
      <w:r w:rsidR="0032142F" w:rsidRPr="00441526">
        <w:rPr>
          <w:lang w:val="en-NZ"/>
        </w:rPr>
        <w:t>-</w:t>
      </w:r>
      <w:r w:rsidR="0032142F">
        <w:rPr>
          <w:lang w:val="en-NZ"/>
        </w:rPr>
        <w:t>4</w:t>
      </w:r>
      <w:r w:rsidR="0032142F" w:rsidRPr="00441526">
        <w:rPr>
          <w:lang w:val="en-NZ"/>
        </w:rPr>
        <w:t>/</w:t>
      </w:r>
      <w:r w:rsidRPr="00846E15">
        <w:rPr>
          <w:b/>
          <w:lang w:val="en-NZ" w:eastAsia="ko-KR"/>
        </w:rPr>
        <w:t xml:space="preserve"> </w:t>
      </w:r>
      <w:r w:rsidRPr="00846E15">
        <w:rPr>
          <w:lang w:val="en-GB"/>
        </w:rPr>
        <w:t>INF-</w:t>
      </w:r>
      <w:r w:rsidR="00835C85">
        <w:rPr>
          <w:lang w:val="en-GB"/>
        </w:rPr>
        <w:t>2</w:t>
      </w:r>
      <w:r w:rsidRPr="00846E15">
        <w:rPr>
          <w:lang w:val="en-GB"/>
        </w:rPr>
        <w:t>7</w:t>
      </w:r>
      <w:r w:rsidRPr="00846E15">
        <w:rPr>
          <w:rFonts w:eastAsia="MS Mincho"/>
          <w:lang w:val="en-GB" w:eastAsia="ja-JP"/>
        </w:rPr>
        <w:t>(IARU),</w:t>
      </w:r>
      <w:r w:rsidR="00835C85">
        <w:rPr>
          <w:rFonts w:eastAsia="MS Mincho"/>
          <w:lang w:val="en-GB" w:eastAsia="ja-JP"/>
        </w:rPr>
        <w:t xml:space="preserve"> </w:t>
      </w:r>
      <w:r w:rsidR="0032142F" w:rsidRPr="00441526">
        <w:rPr>
          <w:lang w:val="en-NZ"/>
        </w:rPr>
        <w:t>APG</w:t>
      </w:r>
      <w:r w:rsidR="0032142F">
        <w:rPr>
          <w:lang w:val="en-NZ"/>
        </w:rPr>
        <w:t>23</w:t>
      </w:r>
      <w:r w:rsidR="0032142F" w:rsidRPr="00441526">
        <w:rPr>
          <w:lang w:val="en-NZ"/>
        </w:rPr>
        <w:t>-</w:t>
      </w:r>
      <w:r w:rsidR="0032142F">
        <w:rPr>
          <w:lang w:val="en-NZ"/>
        </w:rPr>
        <w:t>4</w:t>
      </w:r>
      <w:r w:rsidR="0032142F" w:rsidRPr="00441526">
        <w:rPr>
          <w:lang w:val="en-NZ"/>
        </w:rPr>
        <w:t>/</w:t>
      </w:r>
      <w:r w:rsidR="00835C85">
        <w:rPr>
          <w:rFonts w:eastAsia="MS Mincho"/>
          <w:lang w:val="en-GB" w:eastAsia="ja-JP"/>
        </w:rPr>
        <w:t>INF-28 (CITEL)</w:t>
      </w:r>
      <w:r w:rsidR="0039223B">
        <w:rPr>
          <w:rFonts w:eastAsia="MS Mincho"/>
          <w:lang w:val="en-GB" w:eastAsia="ja-JP"/>
        </w:rPr>
        <w:t>, APG23-4/INF-44 (RCC)</w:t>
      </w:r>
    </w:p>
    <w:p w14:paraId="56038031" w14:textId="5F59AFB1" w:rsidR="00FD7393" w:rsidRDefault="00FD7393" w:rsidP="00846E15">
      <w:pPr>
        <w:rPr>
          <w:rFonts w:eastAsia="MS Mincho"/>
          <w:lang w:val="en-GB" w:eastAsia="ja-JP"/>
        </w:rPr>
      </w:pPr>
    </w:p>
    <w:p w14:paraId="6DC69C30" w14:textId="77777777" w:rsidR="00846E15" w:rsidRPr="00846E15" w:rsidRDefault="00846E15" w:rsidP="00846E15">
      <w:pPr>
        <w:keepNext/>
        <w:spacing w:afterLines="50" w:after="120"/>
        <w:ind w:left="420" w:hanging="420"/>
        <w:outlineLvl w:val="0"/>
        <w:rPr>
          <w:bCs/>
          <w:lang w:val="en-GB" w:eastAsia="ko-KR"/>
        </w:rPr>
      </w:pPr>
      <w:r w:rsidRPr="00846E15">
        <w:rPr>
          <w:b/>
          <w:bCs/>
          <w:lang w:val="en-GB" w:eastAsia="ko-KR"/>
        </w:rPr>
        <w:t xml:space="preserve">3. </w:t>
      </w:r>
      <w:r w:rsidRPr="00846E15">
        <w:rPr>
          <w:b/>
          <w:bCs/>
          <w:lang w:val="en-GB" w:eastAsia="ko-KR"/>
        </w:rPr>
        <w:tab/>
        <w:t>Summary of Discussions</w:t>
      </w:r>
    </w:p>
    <w:p w14:paraId="7762E115" w14:textId="59D0405C" w:rsidR="00846E15" w:rsidRDefault="00C1598F" w:rsidP="00C1598F">
      <w:pPr>
        <w:jc w:val="both"/>
        <w:rPr>
          <w:lang w:val="en-NZ"/>
        </w:rPr>
      </w:pPr>
      <w:r>
        <w:rPr>
          <w:rFonts w:eastAsia="Malgun Gothic"/>
          <w:b/>
          <w:szCs w:val="20"/>
          <w:lang w:val="en-GB" w:eastAsia="ko-KR"/>
        </w:rPr>
        <w:t>-</w:t>
      </w:r>
      <w:r w:rsidR="00846E15" w:rsidRPr="00846E15">
        <w:rPr>
          <w:rFonts w:eastAsia="Malgun Gothic"/>
          <w:b/>
          <w:szCs w:val="20"/>
          <w:lang w:val="en-GB" w:eastAsia="ko-KR"/>
        </w:rPr>
        <w:t>3.1</w:t>
      </w:r>
      <w:r w:rsidR="00846E15" w:rsidRPr="00846E15">
        <w:rPr>
          <w:rFonts w:eastAsia="Malgun Gothic"/>
          <w:b/>
          <w:szCs w:val="20"/>
          <w:lang w:val="en-GB" w:eastAsia="ko-KR"/>
        </w:rPr>
        <w:tab/>
        <w:t xml:space="preserve"> Summary of Members’ view</w:t>
      </w:r>
      <w:r>
        <w:rPr>
          <w:rFonts w:eastAsia="Malgun Gothic"/>
          <w:b/>
          <w:szCs w:val="20"/>
          <w:lang w:val="en-GB" w:eastAsia="ko-KR"/>
        </w:rPr>
        <w:t xml:space="preserve">  </w:t>
      </w:r>
      <w:r w:rsidRPr="00441526">
        <w:rPr>
          <w:lang w:val="en-NZ"/>
        </w:rPr>
        <w:t xml:space="preserve"> </w:t>
      </w:r>
    </w:p>
    <w:p w14:paraId="2541E25D" w14:textId="77777777" w:rsidR="00C1598F" w:rsidRPr="00C1598F" w:rsidRDefault="00C1598F" w:rsidP="00C1598F">
      <w:pPr>
        <w:jc w:val="both"/>
        <w:rPr>
          <w:lang w:val="en-NZ"/>
        </w:rPr>
      </w:pPr>
    </w:p>
    <w:p w14:paraId="2761E861" w14:textId="75C92012" w:rsidR="00846E15" w:rsidRPr="00846E15" w:rsidRDefault="00846E15" w:rsidP="00846E15">
      <w:pPr>
        <w:keepNext/>
        <w:ind w:left="720" w:hanging="720"/>
        <w:outlineLvl w:val="2"/>
        <w:rPr>
          <w:rFonts w:eastAsiaTheme="minorEastAsia"/>
          <w:b/>
          <w:lang w:val="en-GB" w:eastAsia="ja-JP"/>
        </w:rPr>
      </w:pPr>
      <w:r w:rsidRPr="00846E15">
        <w:rPr>
          <w:rFonts w:eastAsia="Times New Roman"/>
          <w:b/>
          <w:bCs/>
          <w:lang w:val="en-GB" w:eastAsia="ko-KR"/>
        </w:rPr>
        <w:t>3.1.1</w:t>
      </w:r>
      <w:r w:rsidRPr="00846E15">
        <w:rPr>
          <w:rFonts w:eastAsia="MS Mincho"/>
          <w:b/>
          <w:bCs/>
          <w:lang w:val="en-GB" w:eastAsia="ja-JP"/>
        </w:rPr>
        <w:tab/>
      </w:r>
      <w:r w:rsidR="002613E2" w:rsidRPr="002613E2">
        <w:rPr>
          <w:rStyle w:val="Hyperlink"/>
          <w:rFonts w:eastAsiaTheme="minorEastAsia"/>
          <w:b/>
          <w:color w:val="000000" w:themeColor="text1"/>
          <w:u w:val="none"/>
          <w:lang w:val="en-GB" w:eastAsia="ja-JP"/>
        </w:rPr>
        <w:t xml:space="preserve">Japan-Document </w:t>
      </w:r>
      <w:hyperlink r:id="rId10" w:history="1">
        <w:r w:rsidRPr="002613E2">
          <w:rPr>
            <w:rStyle w:val="Hyperlink"/>
            <w:b/>
            <w:color w:val="000000" w:themeColor="text1"/>
            <w:u w:val="none"/>
            <w:lang w:val="en-GB"/>
          </w:rPr>
          <w:t>APG23-</w:t>
        </w:r>
        <w:r w:rsidR="00E77ECB" w:rsidRPr="002613E2">
          <w:rPr>
            <w:rStyle w:val="Hyperlink"/>
            <w:b/>
            <w:color w:val="000000" w:themeColor="text1"/>
            <w:u w:val="none"/>
            <w:lang w:val="en-GB"/>
          </w:rPr>
          <w:t>4</w:t>
        </w:r>
        <w:r w:rsidRPr="002613E2">
          <w:rPr>
            <w:rStyle w:val="Hyperlink"/>
            <w:b/>
            <w:color w:val="000000" w:themeColor="text1"/>
            <w:u w:val="none"/>
            <w:lang w:val="en-GB"/>
          </w:rPr>
          <w:t>/INP-</w:t>
        </w:r>
        <w:r w:rsidRPr="002613E2">
          <w:rPr>
            <w:rStyle w:val="Hyperlink"/>
            <w:rFonts w:eastAsiaTheme="minorEastAsia"/>
            <w:b/>
            <w:color w:val="000000" w:themeColor="text1"/>
            <w:u w:val="none"/>
            <w:lang w:val="en-GB" w:eastAsia="ja-JP"/>
          </w:rPr>
          <w:t>09</w:t>
        </w:r>
      </w:hyperlink>
      <w:r w:rsidR="00C1598F" w:rsidRPr="002613E2">
        <w:rPr>
          <w:rStyle w:val="Hyperlink"/>
          <w:rFonts w:eastAsiaTheme="minorEastAsia"/>
          <w:b/>
          <w:color w:val="000000" w:themeColor="text1"/>
          <w:lang w:val="en-GB" w:eastAsia="ja-JP"/>
        </w:rPr>
        <w:t xml:space="preserve"> </w:t>
      </w:r>
    </w:p>
    <w:p w14:paraId="721C8D8E" w14:textId="77777777" w:rsidR="00846E15" w:rsidRPr="00846E15" w:rsidRDefault="00846E15" w:rsidP="00846E15"/>
    <w:p w14:paraId="2E0681FB" w14:textId="77777777" w:rsidR="005755CF" w:rsidRPr="0014272B" w:rsidRDefault="005755CF" w:rsidP="005755CF">
      <w:pPr>
        <w:jc w:val="both"/>
      </w:pPr>
      <w:r w:rsidRPr="0014272B">
        <w:t xml:space="preserve">Japan supports the consideration of possible adjustments of the existing or possible new primary frequency allocations to EESS (passive) in the frequency range 231.5-252 GHz in accordance with Resolution 662 (WRC-19) </w:t>
      </w:r>
      <w:r w:rsidRPr="0014272B">
        <w:rPr>
          <w:rFonts w:eastAsia="MS Mincho" w:hint="eastAsia"/>
          <w:lang w:eastAsia="ja-JP"/>
        </w:rPr>
        <w:t>w</w:t>
      </w:r>
      <w:r w:rsidRPr="0014272B">
        <w:rPr>
          <w:rFonts w:eastAsia="MS Mincho"/>
          <w:lang w:eastAsia="ja-JP"/>
        </w:rPr>
        <w:t xml:space="preserve">hich invites </w:t>
      </w:r>
      <w:r w:rsidRPr="0014272B">
        <w:t>the review and study by ITU-R. Any changes to the EESS (passive) allocations in the frequency range 231.5-252 GHz shall not adversely affect the operation of other primary services allocated in this frequency range.</w:t>
      </w:r>
    </w:p>
    <w:p w14:paraId="6BDF805A" w14:textId="77777777" w:rsidR="00E77ECB" w:rsidRPr="00846E15" w:rsidRDefault="00E77ECB" w:rsidP="00846E15">
      <w:pPr>
        <w:jc w:val="both"/>
      </w:pPr>
    </w:p>
    <w:p w14:paraId="6831AAA7" w14:textId="631C0DFF" w:rsidR="00846E15" w:rsidRPr="00846E15" w:rsidRDefault="00846E15" w:rsidP="00846E15">
      <w:pPr>
        <w:keepNext/>
        <w:ind w:left="720" w:hanging="720"/>
        <w:outlineLvl w:val="2"/>
        <w:rPr>
          <w:rFonts w:eastAsiaTheme="minorEastAsia"/>
          <w:b/>
          <w:lang w:val="en-GB" w:eastAsia="ja-JP"/>
        </w:rPr>
      </w:pPr>
      <w:r w:rsidRPr="00846E15">
        <w:rPr>
          <w:rFonts w:eastAsia="Times New Roman"/>
          <w:b/>
          <w:bCs/>
          <w:lang w:val="en-GB" w:eastAsia="ko-KR"/>
        </w:rPr>
        <w:t>3.1.2</w:t>
      </w:r>
      <w:r w:rsidRPr="00846E15">
        <w:rPr>
          <w:rFonts w:eastAsia="Times New Roman"/>
          <w:b/>
          <w:bCs/>
          <w:lang w:val="en-GB" w:eastAsia="ko-KR"/>
        </w:rPr>
        <w:tab/>
      </w:r>
      <w:r w:rsidR="002613E2" w:rsidRPr="002613E2">
        <w:rPr>
          <w:rStyle w:val="Hyperlink"/>
          <w:rFonts w:eastAsiaTheme="minorEastAsia"/>
          <w:b/>
          <w:color w:val="000000" w:themeColor="text1"/>
          <w:u w:val="none"/>
          <w:lang w:val="en-GB" w:eastAsia="ja-JP"/>
        </w:rPr>
        <w:t xml:space="preserve">Australia-Document </w:t>
      </w:r>
      <w:hyperlink r:id="rId11" w:history="1">
        <w:r w:rsidRPr="002613E2">
          <w:rPr>
            <w:rStyle w:val="Hyperlink"/>
            <w:b/>
            <w:color w:val="000000" w:themeColor="text1"/>
            <w:u w:val="none"/>
            <w:lang w:val="en-GB"/>
          </w:rPr>
          <w:t>APG23-</w:t>
        </w:r>
        <w:r w:rsidR="005755CF" w:rsidRPr="002613E2">
          <w:rPr>
            <w:rStyle w:val="Hyperlink"/>
            <w:b/>
            <w:color w:val="000000" w:themeColor="text1"/>
            <w:u w:val="none"/>
            <w:lang w:val="en-GB"/>
          </w:rPr>
          <w:t>4</w:t>
        </w:r>
        <w:r w:rsidRPr="002613E2">
          <w:rPr>
            <w:rStyle w:val="Hyperlink"/>
            <w:b/>
            <w:color w:val="000000" w:themeColor="text1"/>
            <w:u w:val="none"/>
            <w:lang w:val="en-GB"/>
          </w:rPr>
          <w:t>/INP-</w:t>
        </w:r>
        <w:r w:rsidR="005755CF" w:rsidRPr="002613E2">
          <w:rPr>
            <w:rStyle w:val="Hyperlink"/>
            <w:rFonts w:eastAsiaTheme="minorEastAsia"/>
            <w:b/>
            <w:color w:val="000000" w:themeColor="text1"/>
            <w:u w:val="none"/>
            <w:lang w:val="en-GB" w:eastAsia="ja-JP"/>
          </w:rPr>
          <w:t>1</w:t>
        </w:r>
        <w:r w:rsidRPr="002613E2">
          <w:rPr>
            <w:rStyle w:val="Hyperlink"/>
            <w:rFonts w:eastAsiaTheme="minorEastAsia"/>
            <w:b/>
            <w:color w:val="000000" w:themeColor="text1"/>
            <w:u w:val="none"/>
            <w:lang w:val="en-GB" w:eastAsia="ja-JP"/>
          </w:rPr>
          <w:t>6</w:t>
        </w:r>
      </w:hyperlink>
      <w:r w:rsidR="00CC1F29" w:rsidRPr="002613E2">
        <w:rPr>
          <w:color w:val="000000" w:themeColor="text1"/>
          <w:u w:val="single"/>
        </w:rPr>
        <w:t xml:space="preserve"> </w:t>
      </w:r>
    </w:p>
    <w:p w14:paraId="546CC31A" w14:textId="77777777" w:rsidR="00846E15" w:rsidRPr="00846E15" w:rsidRDefault="00846E15" w:rsidP="00846E15">
      <w:pPr>
        <w:rPr>
          <w:lang w:eastAsia="ko-KR"/>
        </w:rPr>
      </w:pPr>
    </w:p>
    <w:p w14:paraId="4ACF9C08" w14:textId="3F89D58C" w:rsidR="00A21490" w:rsidRPr="00497830" w:rsidRDefault="00A21490" w:rsidP="00A21490">
      <w:pPr>
        <w:jc w:val="both"/>
      </w:pPr>
      <w:r w:rsidRPr="00497830">
        <w:t xml:space="preserve">Australia supports the addition of new primary allocations to the EESS (passive) in the bands 239.2 </w:t>
      </w:r>
      <w:r w:rsidRPr="00497830">
        <w:noBreakHyphen/>
        <w:t xml:space="preserve"> 242.2 GHz and 244.2 </w:t>
      </w:r>
      <w:r w:rsidRPr="00497830">
        <w:noBreakHyphen/>
        <w:t xml:space="preserve"> 247.2 GHz, and possible adjustments to the existing Fixed Service and Mobile Service allocations in the 239.2 </w:t>
      </w:r>
      <w:r w:rsidRPr="00497830">
        <w:noBreakHyphen/>
        <w:t xml:space="preserve"> 241 GHz band, </w:t>
      </w:r>
      <w:proofErr w:type="gramStart"/>
      <w:r w:rsidRPr="00497830">
        <w:t>in order to</w:t>
      </w:r>
      <w:proofErr w:type="gramEnd"/>
      <w:r w:rsidRPr="00497830">
        <w:t xml:space="preserve"> </w:t>
      </w:r>
      <w:r w:rsidR="005F17D0" w:rsidRPr="00497830">
        <w:t>maximize</w:t>
      </w:r>
      <w:r w:rsidRPr="00497830">
        <w:t xml:space="preserve"> the benefit to all involved services.</w:t>
      </w:r>
    </w:p>
    <w:p w14:paraId="7DBE0D61" w14:textId="77777777" w:rsidR="00846E15" w:rsidRPr="00846E15" w:rsidRDefault="00846E15" w:rsidP="00846E15">
      <w:pPr>
        <w:jc w:val="both"/>
        <w:rPr>
          <w:lang w:val="en-GB"/>
        </w:rPr>
      </w:pPr>
    </w:p>
    <w:p w14:paraId="7F144057" w14:textId="4651ED4B" w:rsidR="00846E15" w:rsidRPr="00846E15" w:rsidRDefault="00846E15" w:rsidP="00846E15">
      <w:pPr>
        <w:keepNext/>
        <w:outlineLvl w:val="2"/>
        <w:rPr>
          <w:rFonts w:eastAsiaTheme="minorEastAsia"/>
          <w:b/>
          <w:lang w:val="en-GB" w:eastAsia="ja-JP"/>
        </w:rPr>
      </w:pPr>
      <w:r w:rsidRPr="00846E15">
        <w:rPr>
          <w:rFonts w:eastAsia="Times New Roman"/>
          <w:b/>
          <w:bCs/>
          <w:lang w:val="en-GB" w:eastAsia="ko-KR"/>
        </w:rPr>
        <w:t>3.1.3</w:t>
      </w:r>
      <w:r w:rsidRPr="00846E15">
        <w:rPr>
          <w:rFonts w:eastAsia="Times New Roman"/>
          <w:b/>
          <w:bCs/>
          <w:lang w:val="en-GB" w:eastAsia="ko-KR"/>
        </w:rPr>
        <w:tab/>
      </w:r>
      <w:r w:rsidR="002613E2" w:rsidRPr="002613E2">
        <w:rPr>
          <w:rStyle w:val="Hyperlink"/>
          <w:rFonts w:eastAsiaTheme="minorEastAsia"/>
          <w:b/>
          <w:color w:val="000000" w:themeColor="text1"/>
          <w:u w:val="none"/>
          <w:lang w:val="en-GB" w:eastAsia="ja-JP"/>
        </w:rPr>
        <w:t xml:space="preserve">Bangladesh (People’s Republic of)-Document </w:t>
      </w:r>
      <w:hyperlink r:id="rId12" w:history="1">
        <w:bookmarkStart w:id="2" w:name="_Hlk69984084"/>
        <w:r w:rsidRPr="002613E2">
          <w:rPr>
            <w:rStyle w:val="Hyperlink"/>
            <w:b/>
            <w:color w:val="000000" w:themeColor="text1"/>
            <w:u w:val="none"/>
            <w:lang w:val="en-GB"/>
          </w:rPr>
          <w:t>APG23-</w:t>
        </w:r>
        <w:r w:rsidR="00483D0B" w:rsidRPr="002613E2">
          <w:rPr>
            <w:rStyle w:val="Hyperlink"/>
            <w:b/>
            <w:color w:val="000000" w:themeColor="text1"/>
            <w:u w:val="none"/>
            <w:lang w:val="en-GB"/>
          </w:rPr>
          <w:t>4</w:t>
        </w:r>
        <w:r w:rsidRPr="002613E2">
          <w:rPr>
            <w:rStyle w:val="Hyperlink"/>
            <w:b/>
            <w:color w:val="000000" w:themeColor="text1"/>
            <w:u w:val="none"/>
            <w:lang w:val="en-GB"/>
          </w:rPr>
          <w:t>/INP-</w:t>
        </w:r>
        <w:bookmarkEnd w:id="2"/>
        <w:r w:rsidR="00483D0B" w:rsidRPr="002613E2">
          <w:rPr>
            <w:rStyle w:val="Hyperlink"/>
            <w:rFonts w:eastAsiaTheme="minorEastAsia"/>
            <w:b/>
            <w:color w:val="000000" w:themeColor="text1"/>
            <w:u w:val="none"/>
            <w:lang w:val="en-GB" w:eastAsia="ja-JP"/>
          </w:rPr>
          <w:t>21</w:t>
        </w:r>
      </w:hyperlink>
      <w:r w:rsidR="00B71252" w:rsidRPr="002613E2">
        <w:rPr>
          <w:rStyle w:val="Hyperlink"/>
          <w:rFonts w:eastAsiaTheme="minorEastAsia"/>
          <w:b/>
          <w:color w:val="000000" w:themeColor="text1"/>
          <w:u w:val="none"/>
          <w:lang w:val="en-GB" w:eastAsia="ja-JP"/>
        </w:rPr>
        <w:t xml:space="preserve"> </w:t>
      </w:r>
    </w:p>
    <w:p w14:paraId="46F53E6B" w14:textId="77777777" w:rsidR="00846E15" w:rsidRPr="00846E15" w:rsidRDefault="00846E15" w:rsidP="00846E15"/>
    <w:p w14:paraId="4AD915D7" w14:textId="44FA51F9" w:rsidR="00483D0B" w:rsidRDefault="00483D0B" w:rsidP="00483D0B">
      <w:pPr>
        <w:jc w:val="both"/>
        <w:rPr>
          <w:lang w:eastAsia="ko-KR"/>
        </w:rPr>
      </w:pPr>
      <w:r>
        <w:rPr>
          <w:lang w:eastAsia="ko-KR"/>
        </w:rPr>
        <w:t>Bangladesh</w:t>
      </w:r>
      <w:r w:rsidRPr="00037010">
        <w:rPr>
          <w:lang w:eastAsia="ko-KR"/>
        </w:rPr>
        <w:t xml:space="preserve"> support</w:t>
      </w:r>
      <w:r w:rsidR="00965219">
        <w:rPr>
          <w:lang w:eastAsia="ko-KR"/>
        </w:rPr>
        <w:t>s</w:t>
      </w:r>
      <w:r w:rsidRPr="00037010">
        <w:rPr>
          <w:lang w:eastAsia="ko-KR"/>
        </w:rPr>
        <w:t xml:space="preserve"> the consideration of possible adjustments of the existing or possible new primary frequency allocations to EESS (passive) in the frequency range 231.5-252 GHz in accordance with Resolution 662 (WRC-19) subject to the outcome of the study results</w:t>
      </w:r>
      <w:r>
        <w:rPr>
          <w:lang w:eastAsia="ko-KR"/>
        </w:rPr>
        <w:t>.</w:t>
      </w:r>
      <w:r w:rsidRPr="00037010">
        <w:rPr>
          <w:lang w:eastAsia="ko-KR"/>
        </w:rPr>
        <w:t xml:space="preserve"> </w:t>
      </w:r>
      <w:r>
        <w:rPr>
          <w:lang w:eastAsia="ko-KR"/>
        </w:rPr>
        <w:t>A</w:t>
      </w:r>
      <w:r w:rsidRPr="00037010">
        <w:rPr>
          <w:lang w:eastAsia="ko-KR"/>
        </w:rPr>
        <w:t xml:space="preserve">ny changes to the EESS (passive) allocations in the frequency range 231.5-252 GHz shall not adversely affect the operation of other primary services.  </w:t>
      </w:r>
    </w:p>
    <w:p w14:paraId="468E53E4" w14:textId="77777777" w:rsidR="00846E15" w:rsidRPr="00846E15" w:rsidRDefault="00846E15" w:rsidP="00846E15">
      <w:pPr>
        <w:keepNext/>
        <w:outlineLvl w:val="2"/>
        <w:rPr>
          <w:rFonts w:eastAsia="Times New Roman"/>
          <w:b/>
          <w:bCs/>
          <w:lang w:val="en-GB" w:eastAsia="ko-KR"/>
        </w:rPr>
      </w:pPr>
    </w:p>
    <w:p w14:paraId="5D352FB6" w14:textId="77777777" w:rsidR="00846E15" w:rsidRPr="00846E15" w:rsidRDefault="00846E15" w:rsidP="00846E15">
      <w:pPr>
        <w:rPr>
          <w:rFonts w:eastAsiaTheme="minorEastAsia"/>
          <w:sz w:val="14"/>
          <w:szCs w:val="14"/>
          <w:lang w:eastAsia="ja-JP"/>
        </w:rPr>
      </w:pPr>
    </w:p>
    <w:p w14:paraId="4B507421" w14:textId="094A8767" w:rsidR="00965219" w:rsidRPr="00846E15" w:rsidRDefault="00846E15" w:rsidP="00965219">
      <w:pPr>
        <w:jc w:val="both"/>
        <w:rPr>
          <w:rFonts w:eastAsiaTheme="minorEastAsia"/>
          <w:lang w:eastAsia="zh-CN"/>
        </w:rPr>
      </w:pPr>
      <w:r w:rsidRPr="00846E15">
        <w:rPr>
          <w:rFonts w:eastAsia="Times New Roman"/>
          <w:b/>
          <w:bCs/>
          <w:lang w:val="en-GB" w:eastAsia="ko-KR"/>
        </w:rPr>
        <w:t>3.1.4</w:t>
      </w:r>
      <w:r w:rsidRPr="00846E15">
        <w:rPr>
          <w:rFonts w:eastAsia="MS Mincho"/>
          <w:bCs/>
          <w:lang w:val="en-GB" w:eastAsia="ja-JP"/>
        </w:rPr>
        <w:tab/>
      </w:r>
      <w:r w:rsidR="002613E2" w:rsidRPr="002613E2">
        <w:rPr>
          <w:rStyle w:val="Hyperlink"/>
          <w:rFonts w:eastAsiaTheme="minorEastAsia"/>
          <w:b/>
          <w:color w:val="000000" w:themeColor="text1"/>
          <w:u w:val="none"/>
          <w:lang w:val="en-GB" w:eastAsia="ja-JP"/>
        </w:rPr>
        <w:t>Korea (Republic of</w:t>
      </w:r>
      <w:r w:rsidR="002613E2">
        <w:rPr>
          <w:rStyle w:val="Hyperlink"/>
          <w:rFonts w:eastAsiaTheme="minorEastAsia"/>
          <w:b/>
          <w:color w:val="000000" w:themeColor="text1"/>
          <w:u w:val="none"/>
          <w:lang w:val="en-GB" w:eastAsia="ja-JP"/>
        </w:rPr>
        <w:t>)</w:t>
      </w:r>
      <w:r w:rsidR="002613E2" w:rsidRPr="002613E2">
        <w:rPr>
          <w:rStyle w:val="Hyperlink"/>
          <w:rFonts w:eastAsiaTheme="minorEastAsia"/>
          <w:b/>
          <w:color w:val="000000" w:themeColor="text1"/>
          <w:u w:val="none"/>
          <w:lang w:val="en-GB" w:eastAsia="ja-JP"/>
        </w:rPr>
        <w:t>-</w:t>
      </w:r>
      <w:r w:rsidR="002613E2">
        <w:rPr>
          <w:rStyle w:val="Hyperlink"/>
          <w:rFonts w:eastAsiaTheme="minorEastAsia"/>
          <w:b/>
          <w:color w:val="000000" w:themeColor="text1"/>
          <w:u w:val="none"/>
          <w:lang w:val="en-GB" w:eastAsia="ja-JP"/>
        </w:rPr>
        <w:t xml:space="preserve">Document </w:t>
      </w:r>
      <w:hyperlink r:id="rId13" w:history="1">
        <w:r w:rsidR="00965219" w:rsidRPr="002613E2">
          <w:rPr>
            <w:rStyle w:val="Hyperlink"/>
            <w:b/>
            <w:color w:val="000000" w:themeColor="text1"/>
            <w:u w:val="none"/>
            <w:lang w:val="en-GB"/>
          </w:rPr>
          <w:t>APG23-4/INP-</w:t>
        </w:r>
        <w:r w:rsidR="00965219" w:rsidRPr="002613E2">
          <w:rPr>
            <w:rStyle w:val="Hyperlink"/>
            <w:rFonts w:eastAsiaTheme="minorEastAsia"/>
            <w:b/>
            <w:color w:val="000000" w:themeColor="text1"/>
            <w:u w:val="none"/>
            <w:lang w:val="en-GB" w:eastAsia="ja-JP"/>
          </w:rPr>
          <w:t>36</w:t>
        </w:r>
      </w:hyperlink>
      <w:r w:rsidR="00B71252" w:rsidRPr="002613E2">
        <w:rPr>
          <w:rStyle w:val="Hyperlink"/>
          <w:rFonts w:eastAsiaTheme="minorEastAsia"/>
          <w:b/>
          <w:color w:val="000000" w:themeColor="text1"/>
          <w:lang w:val="en-GB" w:eastAsia="ja-JP"/>
        </w:rPr>
        <w:t xml:space="preserve"> </w:t>
      </w:r>
    </w:p>
    <w:p w14:paraId="344AA957" w14:textId="77777777" w:rsidR="00B56853" w:rsidRPr="007D0518" w:rsidRDefault="00B56853" w:rsidP="00B56853">
      <w:pPr>
        <w:spacing w:before="120" w:after="120"/>
        <w:jc w:val="both"/>
      </w:pPr>
      <w:r w:rsidRPr="007D0518">
        <w:t>The Republic of Korea supports the consideration of possible adjustments of the existing or possible new primary allocations to EESS (passive) in the frequency range 231.5-252 GHz while not adversely affecting the operation of other primary services allocated in this frequency band.</w:t>
      </w:r>
    </w:p>
    <w:p w14:paraId="5D12FC95" w14:textId="77777777" w:rsidR="00965219" w:rsidRDefault="00965219" w:rsidP="00B56853">
      <w:pPr>
        <w:keepNext/>
        <w:outlineLvl w:val="2"/>
        <w:rPr>
          <w:rFonts w:eastAsia="MS Mincho"/>
          <w:bCs/>
          <w:lang w:val="en-GB" w:eastAsia="ja-JP"/>
        </w:rPr>
      </w:pPr>
    </w:p>
    <w:p w14:paraId="5C7449CF" w14:textId="2DBC03AE" w:rsidR="00846E15" w:rsidRPr="00846E15" w:rsidRDefault="00772FD1" w:rsidP="00846E15">
      <w:pPr>
        <w:keepNext/>
        <w:ind w:left="720" w:hanging="720"/>
        <w:outlineLvl w:val="2"/>
        <w:rPr>
          <w:rFonts w:eastAsia="MS Mincho"/>
          <w:bCs/>
          <w:lang w:val="en-GB" w:eastAsia="ja-JP"/>
        </w:rPr>
      </w:pPr>
      <w:r w:rsidRPr="00846E15">
        <w:rPr>
          <w:rFonts w:eastAsia="Times New Roman"/>
          <w:b/>
          <w:bCs/>
          <w:lang w:val="en-GB" w:eastAsia="ko-KR"/>
        </w:rPr>
        <w:t>3.1.</w:t>
      </w:r>
      <w:r>
        <w:rPr>
          <w:rFonts w:eastAsia="Times New Roman"/>
          <w:b/>
          <w:bCs/>
          <w:lang w:val="en-GB" w:eastAsia="ko-KR"/>
        </w:rPr>
        <w:t xml:space="preserve">5 </w:t>
      </w:r>
      <w:r w:rsidR="002613E2" w:rsidRPr="002613E2">
        <w:rPr>
          <w:rStyle w:val="Hyperlink"/>
          <w:rFonts w:eastAsiaTheme="minorEastAsia"/>
          <w:b/>
          <w:color w:val="000000" w:themeColor="text1"/>
          <w:u w:val="none"/>
          <w:lang w:val="en-GB" w:eastAsia="ja-JP"/>
        </w:rPr>
        <w:t>China (People’s Republic of</w:t>
      </w:r>
      <w:r w:rsidR="002613E2">
        <w:rPr>
          <w:rStyle w:val="Hyperlink"/>
          <w:rFonts w:eastAsiaTheme="minorEastAsia"/>
          <w:b/>
          <w:color w:val="000000" w:themeColor="text1"/>
          <w:u w:val="none"/>
          <w:lang w:val="en-GB" w:eastAsia="ja-JP"/>
        </w:rPr>
        <w:t>)</w:t>
      </w:r>
      <w:r w:rsidR="002613E2" w:rsidRPr="002613E2">
        <w:rPr>
          <w:rStyle w:val="Hyperlink"/>
          <w:rFonts w:eastAsiaTheme="minorEastAsia"/>
          <w:b/>
          <w:color w:val="000000" w:themeColor="text1"/>
          <w:u w:val="none"/>
          <w:lang w:val="en-GB" w:eastAsia="ja-JP"/>
        </w:rPr>
        <w:t>-</w:t>
      </w:r>
      <w:r w:rsidR="002613E2">
        <w:rPr>
          <w:rStyle w:val="Hyperlink"/>
          <w:rFonts w:eastAsiaTheme="minorEastAsia"/>
          <w:b/>
          <w:color w:val="000000" w:themeColor="text1"/>
          <w:u w:val="none"/>
          <w:lang w:val="en-GB" w:eastAsia="ja-JP"/>
        </w:rPr>
        <w:t xml:space="preserve">Document </w:t>
      </w:r>
      <w:hyperlink r:id="rId14" w:history="1">
        <w:r w:rsidR="00846E15" w:rsidRPr="002613E2">
          <w:rPr>
            <w:rStyle w:val="Hyperlink"/>
            <w:b/>
            <w:color w:val="000000" w:themeColor="text1"/>
            <w:u w:val="none"/>
            <w:lang w:val="en-GB"/>
          </w:rPr>
          <w:t>APG23-</w:t>
        </w:r>
        <w:r w:rsidR="003F6FD0" w:rsidRPr="002613E2">
          <w:rPr>
            <w:rStyle w:val="Hyperlink"/>
            <w:b/>
            <w:color w:val="000000" w:themeColor="text1"/>
            <w:u w:val="none"/>
            <w:lang w:val="en-GB"/>
          </w:rPr>
          <w:t>4</w:t>
        </w:r>
        <w:r w:rsidR="00846E15" w:rsidRPr="002613E2">
          <w:rPr>
            <w:rStyle w:val="Hyperlink"/>
            <w:b/>
            <w:color w:val="000000" w:themeColor="text1"/>
            <w:u w:val="none"/>
            <w:lang w:val="en-GB"/>
          </w:rPr>
          <w:t>/INP-</w:t>
        </w:r>
        <w:r w:rsidR="00846E15" w:rsidRPr="002613E2">
          <w:rPr>
            <w:rStyle w:val="Hyperlink"/>
            <w:rFonts w:eastAsiaTheme="minorEastAsia"/>
            <w:b/>
            <w:color w:val="000000" w:themeColor="text1"/>
            <w:u w:val="none"/>
            <w:lang w:val="en-GB" w:eastAsia="ja-JP"/>
          </w:rPr>
          <w:t>4</w:t>
        </w:r>
        <w:r w:rsidR="003F6FD0" w:rsidRPr="002613E2">
          <w:rPr>
            <w:rStyle w:val="Hyperlink"/>
            <w:rFonts w:eastAsiaTheme="minorEastAsia"/>
            <w:b/>
            <w:color w:val="000000" w:themeColor="text1"/>
            <w:u w:val="none"/>
            <w:lang w:val="en-GB" w:eastAsia="ja-JP"/>
          </w:rPr>
          <w:t>2</w:t>
        </w:r>
      </w:hyperlink>
      <w:r w:rsidR="00B71252" w:rsidRPr="002613E2">
        <w:rPr>
          <w:rStyle w:val="Hyperlink"/>
          <w:rFonts w:eastAsiaTheme="minorEastAsia"/>
          <w:b/>
          <w:color w:val="000000" w:themeColor="text1"/>
          <w:lang w:val="en-GB" w:eastAsia="ja-JP"/>
        </w:rPr>
        <w:t xml:space="preserve"> </w:t>
      </w:r>
    </w:p>
    <w:p w14:paraId="74406B3A" w14:textId="77777777" w:rsidR="00846E15" w:rsidRPr="00846E15" w:rsidRDefault="00846E15" w:rsidP="00846E15">
      <w:pPr>
        <w:keepNext/>
        <w:outlineLvl w:val="2"/>
        <w:rPr>
          <w:rFonts w:eastAsia="Times New Roman"/>
          <w:b/>
          <w:bCs/>
          <w:lang w:val="en-GB" w:eastAsia="ko-KR"/>
        </w:rPr>
      </w:pPr>
    </w:p>
    <w:p w14:paraId="4FAE1156" w14:textId="0DD11BCD" w:rsidR="003F6FD0" w:rsidRPr="000A5418" w:rsidRDefault="003F6FD0" w:rsidP="003F6FD0">
      <w:pPr>
        <w:jc w:val="both"/>
        <w:rPr>
          <w:b/>
        </w:rPr>
      </w:pPr>
      <w:r>
        <w:rPr>
          <w:szCs w:val="28"/>
          <w:lang w:eastAsia="zh-CN"/>
        </w:rPr>
        <w:t xml:space="preserve">At present, China supports method B </w:t>
      </w:r>
      <w:r>
        <w:rPr>
          <w:rFonts w:eastAsia="SimSun"/>
          <w:szCs w:val="28"/>
          <w:lang w:eastAsia="zh-CN"/>
        </w:rPr>
        <w:t>in the draft</w:t>
      </w:r>
      <w:r>
        <w:rPr>
          <w:szCs w:val="28"/>
          <w:lang w:eastAsia="zh-CN"/>
        </w:rPr>
        <w:t xml:space="preserve"> CPM </w:t>
      </w:r>
      <w:r>
        <w:rPr>
          <w:rFonts w:eastAsia="SimSun"/>
          <w:szCs w:val="28"/>
          <w:lang w:eastAsia="zh-CN"/>
        </w:rPr>
        <w:t xml:space="preserve">text. China can consider the proposed adding the </w:t>
      </w:r>
      <w:r>
        <w:rPr>
          <w:iCs/>
        </w:rPr>
        <w:t>new allocations</w:t>
      </w:r>
      <w:r>
        <w:rPr>
          <w:rFonts w:eastAsia="SimSun"/>
          <w:iCs/>
          <w:lang w:eastAsia="zh-CN"/>
        </w:rPr>
        <w:t xml:space="preserve"> for EESS (passive) in </w:t>
      </w:r>
      <w:r>
        <w:rPr>
          <w:rFonts w:eastAsia="SimSun"/>
          <w:szCs w:val="28"/>
          <w:lang w:eastAsia="zh-CN"/>
        </w:rPr>
        <w:t xml:space="preserve">239.2-242.2GHz and 244.2-247.2GHz </w:t>
      </w:r>
      <w:proofErr w:type="gramStart"/>
      <w:r>
        <w:rPr>
          <w:rFonts w:eastAsia="SimSun"/>
          <w:szCs w:val="28"/>
          <w:lang w:eastAsia="zh-CN"/>
        </w:rPr>
        <w:t>bands, and</w:t>
      </w:r>
      <w:proofErr w:type="gramEnd"/>
      <w:r>
        <w:rPr>
          <w:rFonts w:eastAsia="SimSun"/>
          <w:szCs w:val="28"/>
          <w:lang w:eastAsia="zh-CN"/>
        </w:rPr>
        <w:t xml:space="preserve"> adjusting the existing FS and MS allocations from 239.2-241GHz (1.8GHz bandwidth) to 235-238GHz (3GHz bandwidth).</w:t>
      </w:r>
      <w:r w:rsidR="008B453D">
        <w:rPr>
          <w:rFonts w:eastAsia="SimSun"/>
          <w:szCs w:val="28"/>
          <w:lang w:eastAsia="zh-CN"/>
        </w:rPr>
        <w:t xml:space="preserve"> </w:t>
      </w:r>
      <w:r>
        <w:rPr>
          <w:rFonts w:eastAsia="SimSun"/>
          <w:szCs w:val="28"/>
          <w:lang w:eastAsia="zh-CN"/>
        </w:rPr>
        <w:t>China also supports continuing study and improvement on the method</w:t>
      </w:r>
      <w:r>
        <w:rPr>
          <w:rFonts w:eastAsia="SimSun" w:hint="eastAsia"/>
          <w:szCs w:val="28"/>
          <w:lang w:eastAsia="zh-CN"/>
        </w:rPr>
        <w:t>s</w:t>
      </w:r>
      <w:r>
        <w:rPr>
          <w:rFonts w:eastAsia="SimSun"/>
          <w:szCs w:val="28"/>
          <w:lang w:eastAsia="zh-CN"/>
        </w:rPr>
        <w:t xml:space="preserve"> in order not to</w:t>
      </w:r>
      <w:r>
        <w:rPr>
          <w:bCs/>
          <w:lang w:val="en-NZ" w:eastAsia="ko-KR"/>
        </w:rPr>
        <w:t xml:space="preserve"> adversely affect the operation of </w:t>
      </w:r>
      <w:r>
        <w:rPr>
          <w:rFonts w:eastAsia="SimSun"/>
          <w:bCs/>
          <w:lang w:val="en-NZ" w:eastAsia="zh-CN"/>
        </w:rPr>
        <w:t xml:space="preserve">the </w:t>
      </w:r>
      <w:r>
        <w:rPr>
          <w:bCs/>
          <w:lang w:val="en-NZ" w:eastAsia="ko-KR"/>
        </w:rPr>
        <w:t>other primary services.</w:t>
      </w:r>
    </w:p>
    <w:p w14:paraId="561C3061" w14:textId="7BD87066" w:rsidR="00846E15" w:rsidRDefault="00846E15" w:rsidP="00846E15">
      <w:pPr>
        <w:jc w:val="both"/>
        <w:rPr>
          <w:rFonts w:eastAsiaTheme="minorEastAsia"/>
          <w:lang w:eastAsia="zh-CN"/>
        </w:rPr>
      </w:pPr>
    </w:p>
    <w:p w14:paraId="395CE687" w14:textId="32A39EFE" w:rsidR="00772FD1" w:rsidRDefault="00772FD1" w:rsidP="00846E15">
      <w:pPr>
        <w:jc w:val="both"/>
        <w:rPr>
          <w:rFonts w:eastAsiaTheme="minorEastAsia"/>
          <w:lang w:eastAsia="zh-CN"/>
        </w:rPr>
      </w:pPr>
      <w:r w:rsidRPr="00846E15">
        <w:rPr>
          <w:rFonts w:eastAsia="Times New Roman"/>
          <w:b/>
          <w:bCs/>
          <w:lang w:val="en-GB" w:eastAsia="ko-KR"/>
        </w:rPr>
        <w:t>3.1.</w:t>
      </w:r>
      <w:r>
        <w:rPr>
          <w:rFonts w:eastAsia="Times New Roman"/>
          <w:b/>
          <w:bCs/>
          <w:lang w:val="en-GB" w:eastAsia="ko-KR"/>
        </w:rPr>
        <w:t xml:space="preserve">6 </w:t>
      </w:r>
      <w:r w:rsidR="002613E2" w:rsidRPr="002613E2">
        <w:rPr>
          <w:rStyle w:val="Hyperlink"/>
          <w:rFonts w:eastAsiaTheme="minorEastAsia"/>
          <w:b/>
          <w:color w:val="000000" w:themeColor="text1"/>
          <w:u w:val="none"/>
          <w:lang w:val="en-GB" w:eastAsia="ja-JP"/>
        </w:rPr>
        <w:t xml:space="preserve">India-Document </w:t>
      </w:r>
      <w:hyperlink r:id="rId15" w:history="1">
        <w:r w:rsidRPr="002613E2">
          <w:rPr>
            <w:rStyle w:val="Hyperlink"/>
            <w:b/>
            <w:color w:val="000000" w:themeColor="text1"/>
            <w:u w:val="none"/>
            <w:lang w:val="en-GB"/>
          </w:rPr>
          <w:t>APG23-4/INP-</w:t>
        </w:r>
        <w:r w:rsidRPr="002613E2">
          <w:rPr>
            <w:rStyle w:val="Hyperlink"/>
            <w:rFonts w:eastAsiaTheme="minorEastAsia"/>
            <w:b/>
            <w:color w:val="000000" w:themeColor="text1"/>
            <w:u w:val="none"/>
            <w:lang w:val="en-GB" w:eastAsia="ja-JP"/>
          </w:rPr>
          <w:t>63</w:t>
        </w:r>
      </w:hyperlink>
      <w:r w:rsidR="00B71252" w:rsidRPr="002613E2">
        <w:rPr>
          <w:rStyle w:val="Hyperlink"/>
          <w:rFonts w:eastAsiaTheme="minorEastAsia"/>
          <w:b/>
          <w:color w:val="000000" w:themeColor="text1"/>
          <w:lang w:val="en-GB" w:eastAsia="ja-JP"/>
        </w:rPr>
        <w:t xml:space="preserve"> </w:t>
      </w:r>
    </w:p>
    <w:p w14:paraId="52E74554" w14:textId="0D5B7FEF" w:rsidR="00772FD1" w:rsidRDefault="00772FD1" w:rsidP="00846E15">
      <w:pPr>
        <w:jc w:val="both"/>
        <w:rPr>
          <w:rFonts w:eastAsiaTheme="minorEastAsia"/>
          <w:lang w:eastAsia="zh-CN"/>
        </w:rPr>
      </w:pPr>
    </w:p>
    <w:p w14:paraId="262928C1" w14:textId="77777777" w:rsidR="008B453D" w:rsidRPr="00412E41" w:rsidRDefault="008B453D" w:rsidP="008B453D">
      <w:pPr>
        <w:jc w:val="both"/>
      </w:pPr>
      <w:r w:rsidRPr="00412E41">
        <w:t>India supports the consideration of possible adjustments of the existing or new primary frequency allocations to EESS (passive) in the frequency range 231.5-252 GHz in accordance with Resolution 662 (WRC-19) subject to the outcome of the results of ITU-R studies. Any changes to the EESS (passive) allocations in the frequency range 231.5-252 GHz s</w:t>
      </w:r>
      <w:r>
        <w:t>hould</w:t>
      </w:r>
      <w:r w:rsidRPr="00412E41">
        <w:t xml:space="preserve"> not adversely affect the operation of other primary services in this frequency band.</w:t>
      </w:r>
    </w:p>
    <w:p w14:paraId="0A47B431" w14:textId="732E4E9D" w:rsidR="00772FD1" w:rsidRDefault="00772FD1" w:rsidP="00846E15">
      <w:pPr>
        <w:jc w:val="both"/>
        <w:rPr>
          <w:rFonts w:eastAsiaTheme="minorEastAsia"/>
          <w:lang w:eastAsia="zh-CN"/>
        </w:rPr>
      </w:pPr>
    </w:p>
    <w:p w14:paraId="7C9A9B6E" w14:textId="78587D83" w:rsidR="00684F2A" w:rsidRDefault="00684F2A" w:rsidP="00684F2A">
      <w:pPr>
        <w:jc w:val="both"/>
        <w:rPr>
          <w:rFonts w:eastAsiaTheme="minorEastAsia"/>
          <w:lang w:eastAsia="zh-CN"/>
        </w:rPr>
      </w:pPr>
      <w:r w:rsidRPr="00846E15">
        <w:rPr>
          <w:rFonts w:eastAsia="Times New Roman"/>
          <w:b/>
          <w:bCs/>
          <w:lang w:val="en-GB" w:eastAsia="ko-KR"/>
        </w:rPr>
        <w:t>3.1.</w:t>
      </w:r>
      <w:r>
        <w:rPr>
          <w:rFonts w:eastAsia="Times New Roman"/>
          <w:b/>
          <w:bCs/>
          <w:lang w:val="en-GB" w:eastAsia="ko-KR"/>
        </w:rPr>
        <w:t xml:space="preserve">7 </w:t>
      </w:r>
      <w:r w:rsidR="002613E2" w:rsidRPr="00C923EA">
        <w:rPr>
          <w:rStyle w:val="Hyperlink"/>
          <w:rFonts w:eastAsiaTheme="minorEastAsia"/>
          <w:b/>
          <w:color w:val="000000" w:themeColor="text1"/>
          <w:u w:val="none"/>
          <w:lang w:val="en-GB" w:eastAsia="ja-JP"/>
        </w:rPr>
        <w:t>Malaysia-</w:t>
      </w:r>
      <w:hyperlink r:id="rId16" w:history="1">
        <w:r w:rsidRPr="00C923EA">
          <w:rPr>
            <w:rStyle w:val="Hyperlink"/>
            <w:b/>
            <w:color w:val="000000" w:themeColor="text1"/>
            <w:u w:val="none"/>
            <w:lang w:val="en-GB"/>
          </w:rPr>
          <w:t>APG23-4/INP-</w:t>
        </w:r>
        <w:r w:rsidRPr="00C923EA">
          <w:rPr>
            <w:rStyle w:val="Hyperlink"/>
            <w:rFonts w:eastAsiaTheme="minorEastAsia"/>
            <w:b/>
            <w:color w:val="000000" w:themeColor="text1"/>
            <w:u w:val="none"/>
            <w:lang w:val="en-GB" w:eastAsia="ja-JP"/>
          </w:rPr>
          <w:t>6</w:t>
        </w:r>
        <w:r w:rsidR="00B03086" w:rsidRPr="00C923EA">
          <w:rPr>
            <w:rStyle w:val="Hyperlink"/>
            <w:rFonts w:eastAsiaTheme="minorEastAsia"/>
            <w:b/>
            <w:color w:val="000000" w:themeColor="text1"/>
            <w:u w:val="none"/>
            <w:lang w:val="en-GB" w:eastAsia="ja-JP"/>
          </w:rPr>
          <w:t>8</w:t>
        </w:r>
      </w:hyperlink>
      <w:r w:rsidR="00B71252" w:rsidRPr="002613E2">
        <w:rPr>
          <w:rStyle w:val="Hyperlink"/>
          <w:rFonts w:eastAsiaTheme="minorEastAsia"/>
          <w:b/>
          <w:color w:val="000000" w:themeColor="text1"/>
          <w:lang w:val="en-GB" w:eastAsia="ja-JP"/>
        </w:rPr>
        <w:t xml:space="preserve"> </w:t>
      </w:r>
    </w:p>
    <w:p w14:paraId="528ADDC3" w14:textId="346A5E14" w:rsidR="008B453D" w:rsidRDefault="008B453D" w:rsidP="00846E15">
      <w:pPr>
        <w:jc w:val="both"/>
        <w:rPr>
          <w:rFonts w:eastAsiaTheme="minorEastAsia"/>
          <w:lang w:eastAsia="zh-CN"/>
        </w:rPr>
      </w:pPr>
    </w:p>
    <w:p w14:paraId="10EDB2F3" w14:textId="77777777" w:rsidR="00B03086" w:rsidRDefault="00B03086" w:rsidP="00B03086">
      <w:pPr>
        <w:jc w:val="both"/>
      </w:pPr>
      <w:r w:rsidRPr="009C370B">
        <w:t>M</w:t>
      </w:r>
      <w:r>
        <w:t>alaysia</w:t>
      </w:r>
      <w:r w:rsidRPr="009C370B">
        <w:t xml:space="preserve"> support</w:t>
      </w:r>
      <w:r>
        <w:t>s</w:t>
      </w:r>
      <w:r w:rsidRPr="009C370B">
        <w:t xml:space="preserve"> the </w:t>
      </w:r>
      <w:r>
        <w:t xml:space="preserve">possible </w:t>
      </w:r>
      <w:r w:rsidRPr="009C370B">
        <w:t>addition of new primary allocations to Earth exploration-satellite service (EESS) (passive) in the</w:t>
      </w:r>
      <w:r>
        <w:t xml:space="preserve"> </w:t>
      </w:r>
      <w:r w:rsidRPr="009C370B">
        <w:t>239.2-242.2 GHz and 244.2-247.2 GHz</w:t>
      </w:r>
      <w:r>
        <w:t xml:space="preserve"> frequency bands, s</w:t>
      </w:r>
      <w:r w:rsidRPr="009C370B">
        <w:t>ubject to the completion of the relevant studies by ITU-R</w:t>
      </w:r>
      <w:r>
        <w:t xml:space="preserve"> for this agenda item.</w:t>
      </w:r>
    </w:p>
    <w:p w14:paraId="09F6DC96" w14:textId="77777777" w:rsidR="00B03086" w:rsidRPr="002E0A53" w:rsidRDefault="00B03086" w:rsidP="00B03086">
      <w:pPr>
        <w:jc w:val="both"/>
        <w:rPr>
          <w:rFonts w:eastAsiaTheme="minorHAnsi"/>
          <w:strike/>
          <w:sz w:val="22"/>
          <w:szCs w:val="22"/>
        </w:rPr>
      </w:pPr>
    </w:p>
    <w:p w14:paraId="6FA7EFBE" w14:textId="77777777" w:rsidR="008B453D" w:rsidRPr="00846E15" w:rsidRDefault="008B453D" w:rsidP="00846E15">
      <w:pPr>
        <w:jc w:val="both"/>
        <w:rPr>
          <w:rFonts w:eastAsiaTheme="minorEastAsia"/>
          <w:lang w:eastAsia="zh-CN"/>
        </w:rPr>
      </w:pPr>
    </w:p>
    <w:p w14:paraId="1278D301" w14:textId="77777777" w:rsidR="00846E15" w:rsidRPr="00846E15" w:rsidRDefault="00846E15" w:rsidP="00846E15">
      <w:pPr>
        <w:spacing w:after="120"/>
        <w:jc w:val="both"/>
        <w:rPr>
          <w:b/>
          <w:lang w:val="en-NZ"/>
        </w:rPr>
      </w:pPr>
      <w:r w:rsidRPr="00846E15">
        <w:rPr>
          <w:b/>
          <w:lang w:val="en-NZ"/>
        </w:rPr>
        <w:t xml:space="preserve">3.2 </w:t>
      </w:r>
      <w:r w:rsidRPr="00846E15">
        <w:rPr>
          <w:b/>
          <w:lang w:val="en-NZ"/>
        </w:rPr>
        <w:tab/>
        <w:t>S</w:t>
      </w:r>
      <w:r w:rsidRPr="00846E15">
        <w:rPr>
          <w:b/>
          <w:lang w:val="en-NZ" w:eastAsia="ko-KR"/>
        </w:rPr>
        <w:t>ummary of issues raised du</w:t>
      </w:r>
      <w:r w:rsidRPr="00846E15">
        <w:rPr>
          <w:b/>
          <w:lang w:val="en-NZ"/>
        </w:rPr>
        <w:t>ring the meeting</w:t>
      </w:r>
    </w:p>
    <w:p w14:paraId="40439811" w14:textId="77777777" w:rsidR="00846E15" w:rsidRPr="00846E15" w:rsidRDefault="00846E15" w:rsidP="00846E15">
      <w:pPr>
        <w:jc w:val="both"/>
        <w:rPr>
          <w:rFonts w:ascii="SimSun" w:eastAsia="SimSun" w:hAnsi="SimSun"/>
          <w:lang w:val="en-NZ" w:eastAsia="zh-CN"/>
        </w:rPr>
      </w:pPr>
      <w:r w:rsidRPr="00846E15">
        <w:rPr>
          <w:lang w:val="en-NZ"/>
        </w:rPr>
        <w:t>None</w:t>
      </w:r>
      <w:r w:rsidRPr="00846E15">
        <w:rPr>
          <w:rFonts w:ascii="SimSun" w:eastAsia="SimSun" w:hAnsi="SimSun" w:hint="eastAsia"/>
          <w:lang w:val="en-NZ" w:eastAsia="zh-CN"/>
        </w:rPr>
        <w:t>.</w:t>
      </w:r>
    </w:p>
    <w:p w14:paraId="7C2DA1AF" w14:textId="77777777" w:rsidR="00846E15" w:rsidRPr="00846E15" w:rsidRDefault="00846E15" w:rsidP="00846E15">
      <w:pPr>
        <w:jc w:val="both"/>
        <w:rPr>
          <w:sz w:val="16"/>
          <w:szCs w:val="16"/>
          <w:lang w:eastAsia="ko-KR"/>
        </w:rPr>
      </w:pPr>
    </w:p>
    <w:p w14:paraId="7DA0AAC9" w14:textId="77777777" w:rsidR="00846E15" w:rsidRPr="00846E15" w:rsidRDefault="00846E15" w:rsidP="00846E15">
      <w:pPr>
        <w:keepNext/>
        <w:spacing w:afterLines="50" w:after="120"/>
        <w:ind w:left="420" w:hanging="420"/>
        <w:outlineLvl w:val="0"/>
        <w:rPr>
          <w:bCs/>
          <w:lang w:val="en-GB" w:eastAsia="ko-KR"/>
        </w:rPr>
      </w:pPr>
      <w:r w:rsidRPr="00846E15">
        <w:rPr>
          <w:b/>
          <w:bCs/>
          <w:lang w:val="en-GB" w:eastAsia="ko-KR"/>
        </w:rPr>
        <w:t xml:space="preserve">4. </w:t>
      </w:r>
      <w:r w:rsidRPr="00846E15">
        <w:rPr>
          <w:b/>
          <w:bCs/>
          <w:lang w:val="en-GB" w:eastAsia="ko-KR"/>
        </w:rPr>
        <w:tab/>
        <w:t>APT Preliminary View(s)</w:t>
      </w:r>
    </w:p>
    <w:p w14:paraId="17C4D6BC" w14:textId="75D3F07D" w:rsidR="00846E15" w:rsidRPr="00846E15" w:rsidRDefault="00846E15" w:rsidP="00846E15">
      <w:pPr>
        <w:jc w:val="both"/>
        <w:rPr>
          <w:lang w:eastAsia="ko-KR"/>
        </w:rPr>
      </w:pPr>
      <w:r w:rsidRPr="00846E15">
        <w:rPr>
          <w:lang w:eastAsia="ko-KR"/>
        </w:rPr>
        <w:t xml:space="preserve">APT Members support possible adjustments </w:t>
      </w:r>
      <w:r w:rsidR="00FF30B7">
        <w:rPr>
          <w:lang w:eastAsia="ko-KR"/>
        </w:rPr>
        <w:t>to</w:t>
      </w:r>
      <w:r w:rsidR="00FF30B7" w:rsidRPr="00846E15">
        <w:rPr>
          <w:lang w:eastAsia="ko-KR"/>
        </w:rPr>
        <w:t xml:space="preserve"> </w:t>
      </w:r>
      <w:r w:rsidRPr="00846E15">
        <w:rPr>
          <w:lang w:eastAsia="ko-KR"/>
        </w:rPr>
        <w:t xml:space="preserve">the existing or possible new primary frequency allocations to EESS (passive) in the frequency range 231.5-252 GHz in accordance with Resolution </w:t>
      </w:r>
      <w:r w:rsidRPr="0000174B">
        <w:rPr>
          <w:b/>
          <w:bCs/>
          <w:lang w:eastAsia="ko-KR"/>
        </w:rPr>
        <w:t>662</w:t>
      </w:r>
      <w:r w:rsidRPr="00846E15">
        <w:rPr>
          <w:lang w:eastAsia="ko-KR"/>
        </w:rPr>
        <w:t xml:space="preserve"> (WRC-19) subject to the outcome of the study results.</w:t>
      </w:r>
      <w:r w:rsidR="001F285D">
        <w:rPr>
          <w:lang w:eastAsia="ko-KR"/>
        </w:rPr>
        <w:t xml:space="preserve"> However,</w:t>
      </w:r>
      <w:r w:rsidRPr="00846E15">
        <w:rPr>
          <w:lang w:eastAsia="ko-KR"/>
        </w:rPr>
        <w:t xml:space="preserve"> </w:t>
      </w:r>
      <w:r w:rsidR="002E65A7" w:rsidRPr="00846E15">
        <w:rPr>
          <w:lang w:eastAsia="ko-KR"/>
        </w:rPr>
        <w:t>any</w:t>
      </w:r>
      <w:r w:rsidRPr="00846E15">
        <w:rPr>
          <w:lang w:eastAsia="ko-KR"/>
        </w:rPr>
        <w:t xml:space="preserve"> changes to the EESS (passive) allocations in the frequency range 231.5-252 GHz shall not adversely affect the operation of other primary services</w:t>
      </w:r>
      <w:r w:rsidR="00231F10">
        <w:rPr>
          <w:lang w:eastAsia="ko-KR"/>
        </w:rPr>
        <w:t xml:space="preserve"> allocated in this frequency range</w:t>
      </w:r>
      <w:r w:rsidR="006E311A">
        <w:rPr>
          <w:lang w:eastAsia="ko-KR"/>
        </w:rPr>
        <w:t>.</w:t>
      </w:r>
      <w:r w:rsidRPr="00846E15">
        <w:rPr>
          <w:lang w:eastAsia="ko-KR"/>
        </w:rPr>
        <w:t xml:space="preserve"> </w:t>
      </w:r>
    </w:p>
    <w:p w14:paraId="756EAB8E" w14:textId="77777777" w:rsidR="00846E15" w:rsidRPr="00846E15" w:rsidRDefault="00846E15" w:rsidP="00846E15">
      <w:pPr>
        <w:jc w:val="both"/>
        <w:rPr>
          <w:sz w:val="16"/>
          <w:szCs w:val="16"/>
          <w:lang w:eastAsia="ko-KR"/>
        </w:rPr>
      </w:pPr>
    </w:p>
    <w:p w14:paraId="31B86ECF" w14:textId="7B1C77DA" w:rsidR="00846E15" w:rsidRPr="00846E15" w:rsidRDefault="00846E15" w:rsidP="00846E15">
      <w:pPr>
        <w:keepNext/>
        <w:spacing w:afterLines="50" w:after="120"/>
        <w:ind w:left="420" w:hanging="420"/>
        <w:outlineLvl w:val="0"/>
        <w:rPr>
          <w:bCs/>
          <w:lang w:val="en-GB" w:eastAsia="ko-KR"/>
        </w:rPr>
      </w:pPr>
      <w:r w:rsidRPr="00846E15">
        <w:rPr>
          <w:b/>
          <w:bCs/>
          <w:lang w:val="en-GB" w:eastAsia="ko-KR"/>
        </w:rPr>
        <w:t xml:space="preserve">5. </w:t>
      </w:r>
      <w:r w:rsidRPr="00846E15">
        <w:rPr>
          <w:b/>
          <w:bCs/>
          <w:lang w:val="en-GB" w:eastAsia="ko-KR"/>
        </w:rPr>
        <w:tab/>
      </w:r>
      <w:r w:rsidR="003932C6" w:rsidRPr="00441526">
        <w:rPr>
          <w:b/>
          <w:lang w:val="en-NZ" w:eastAsia="ko-KR"/>
        </w:rPr>
        <w:t>Other View(s)</w:t>
      </w:r>
      <w:r w:rsidR="003932C6">
        <w:rPr>
          <w:b/>
          <w:lang w:val="en-NZ" w:eastAsia="ko-KR"/>
        </w:rPr>
        <w:t xml:space="preserve"> from APT Members</w:t>
      </w:r>
    </w:p>
    <w:p w14:paraId="0B7FB75F" w14:textId="362365B7" w:rsidR="00846E15" w:rsidRPr="00846E15" w:rsidRDefault="00AA2C5D" w:rsidP="00846E15">
      <w:pPr>
        <w:rPr>
          <w:rFonts w:eastAsia="MS Mincho"/>
          <w:lang w:val="en-GB" w:eastAsia="ja-JP"/>
        </w:rPr>
      </w:pPr>
      <w:r>
        <w:rPr>
          <w:rFonts w:eastAsia="MS Mincho"/>
          <w:lang w:val="en-GB" w:eastAsia="ja-JP"/>
        </w:rPr>
        <w:t>None</w:t>
      </w:r>
    </w:p>
    <w:p w14:paraId="3DAA6585" w14:textId="77777777" w:rsidR="00846E15" w:rsidRPr="00846E15" w:rsidRDefault="00846E15" w:rsidP="00846E15">
      <w:pPr>
        <w:rPr>
          <w:rFonts w:eastAsia="MS Mincho"/>
          <w:lang w:val="en-GB" w:eastAsia="ja-JP"/>
        </w:rPr>
      </w:pPr>
    </w:p>
    <w:p w14:paraId="4D056706" w14:textId="77777777" w:rsidR="00846E15" w:rsidRPr="00846E15" w:rsidRDefault="00846E15" w:rsidP="00846E15">
      <w:pPr>
        <w:rPr>
          <w:b/>
          <w:lang w:val="en-NZ"/>
        </w:rPr>
      </w:pPr>
      <w:r w:rsidRPr="00846E15">
        <w:rPr>
          <w:b/>
          <w:lang w:val="en-NZ"/>
        </w:rPr>
        <w:t xml:space="preserve">6. </w:t>
      </w:r>
      <w:r w:rsidRPr="00846E15">
        <w:rPr>
          <w:b/>
          <w:lang w:val="en-NZ"/>
        </w:rPr>
        <w:tab/>
        <w:t>Issues for Consideration at Next APG Meeting</w:t>
      </w:r>
    </w:p>
    <w:p w14:paraId="634E2480" w14:textId="77777777" w:rsidR="00846E15" w:rsidRPr="00846E15" w:rsidRDefault="00846E15" w:rsidP="00846E15">
      <w:pPr>
        <w:jc w:val="both"/>
        <w:rPr>
          <w:lang w:val="en-NZ"/>
        </w:rPr>
      </w:pPr>
    </w:p>
    <w:p w14:paraId="47DB1BBD" w14:textId="36B24EC7" w:rsidR="00D35359" w:rsidRDefault="00846E15" w:rsidP="00846E15">
      <w:pPr>
        <w:jc w:val="both"/>
        <w:rPr>
          <w:rFonts w:eastAsia="MS Mincho"/>
          <w:lang w:val="en-NZ" w:eastAsia="ja-JP"/>
        </w:rPr>
      </w:pPr>
      <w:r w:rsidRPr="00846E15">
        <w:rPr>
          <w:lang w:val="en-NZ"/>
        </w:rPr>
        <w:t>APT preliminary view(s) on this topic should be reviewed</w:t>
      </w:r>
      <w:r w:rsidR="007E31F5">
        <w:rPr>
          <w:lang w:val="en-NZ"/>
        </w:rPr>
        <w:t xml:space="preserve">, if </w:t>
      </w:r>
      <w:proofErr w:type="gramStart"/>
      <w:r w:rsidR="007E31F5">
        <w:rPr>
          <w:lang w:val="en-NZ"/>
        </w:rPr>
        <w:t>necessary</w:t>
      </w:r>
      <w:proofErr w:type="gramEnd"/>
      <w:r w:rsidRPr="00846E15">
        <w:rPr>
          <w:lang w:val="en-NZ"/>
        </w:rPr>
        <w:t xml:space="preserve"> revise</w:t>
      </w:r>
      <w:r w:rsidR="007E31F5">
        <w:rPr>
          <w:lang w:val="en-NZ"/>
        </w:rPr>
        <w:t xml:space="preserve">, </w:t>
      </w:r>
      <w:r w:rsidRPr="00846E15">
        <w:rPr>
          <w:lang w:val="en-NZ"/>
        </w:rPr>
        <w:t xml:space="preserve">in accordance with the progress of studies in ITU-R Working Parties and Contributions from APT Members. </w:t>
      </w:r>
      <w:r w:rsidRPr="00846E15">
        <w:rPr>
          <w:rFonts w:eastAsia="MS Mincho"/>
          <w:lang w:val="en-NZ" w:eastAsia="ja-JP"/>
        </w:rPr>
        <w:t>APT Members are encouraged to participate the studies in ITU-R, and to submit their views to the next APG meetings.</w:t>
      </w:r>
    </w:p>
    <w:p w14:paraId="7184F88A" w14:textId="0701F3BA" w:rsidR="00D35359" w:rsidRDefault="00D35359">
      <w:pPr>
        <w:rPr>
          <w:rFonts w:eastAsia="MS Mincho"/>
          <w:lang w:val="en-NZ" w:eastAsia="ja-JP"/>
        </w:rPr>
      </w:pPr>
    </w:p>
    <w:p w14:paraId="3BC40850" w14:textId="77777777" w:rsidR="00846E15" w:rsidRPr="00846E15" w:rsidRDefault="00846E15" w:rsidP="00846E15">
      <w:pPr>
        <w:rPr>
          <w:rFonts w:eastAsia="MS Mincho"/>
          <w:lang w:val="en-GB" w:eastAsia="ja-JP"/>
        </w:rPr>
      </w:pPr>
    </w:p>
    <w:p w14:paraId="6A7FB90E" w14:textId="77777777" w:rsidR="00846E15" w:rsidRPr="00846E15" w:rsidRDefault="00846E15" w:rsidP="00846E15">
      <w:pPr>
        <w:rPr>
          <w:b/>
          <w:lang w:val="en-NZ" w:eastAsia="ko-KR"/>
        </w:rPr>
      </w:pPr>
      <w:r w:rsidRPr="00846E15">
        <w:rPr>
          <w:rFonts w:hint="eastAsia"/>
          <w:b/>
          <w:lang w:val="en-NZ" w:eastAsia="ko-KR"/>
        </w:rPr>
        <w:t>7</w:t>
      </w:r>
      <w:r w:rsidRPr="00846E15">
        <w:rPr>
          <w:b/>
          <w:lang w:val="en-NZ" w:eastAsia="ko-KR"/>
        </w:rPr>
        <w:t xml:space="preserve">. </w:t>
      </w:r>
      <w:r w:rsidRPr="00846E15">
        <w:rPr>
          <w:b/>
          <w:lang w:val="en-NZ" w:eastAsia="ko-KR"/>
        </w:rPr>
        <w:tab/>
        <w:t>Views from Other Organizations</w:t>
      </w:r>
    </w:p>
    <w:p w14:paraId="40EB3FAD" w14:textId="77777777" w:rsidR="00846E15" w:rsidRPr="00846E15" w:rsidRDefault="00846E15" w:rsidP="00846E15">
      <w:pPr>
        <w:jc w:val="both"/>
        <w:rPr>
          <w:b/>
          <w:lang w:val="en-NZ" w:eastAsia="ko-KR"/>
        </w:rPr>
      </w:pPr>
    </w:p>
    <w:p w14:paraId="1BF6B7C7" w14:textId="316E7764" w:rsidR="00846E15" w:rsidRDefault="00846E15" w:rsidP="00846E15">
      <w:pPr>
        <w:spacing w:after="120"/>
        <w:jc w:val="both"/>
        <w:rPr>
          <w:b/>
          <w:lang w:val="en-NZ" w:eastAsia="ko-KR"/>
        </w:rPr>
      </w:pPr>
      <w:r w:rsidRPr="00846E15">
        <w:rPr>
          <w:b/>
          <w:lang w:val="en-NZ" w:eastAsia="ko-KR"/>
        </w:rPr>
        <w:t xml:space="preserve">7.1 </w:t>
      </w:r>
      <w:r w:rsidRPr="00846E15">
        <w:rPr>
          <w:b/>
          <w:lang w:val="en-NZ" w:eastAsia="ko-KR"/>
        </w:rPr>
        <w:tab/>
        <w:t>Regional Groups</w:t>
      </w:r>
    </w:p>
    <w:p w14:paraId="6BCC7B81" w14:textId="4270DC10" w:rsidR="00846E15" w:rsidRPr="00846E15" w:rsidRDefault="00846E15" w:rsidP="00846E15">
      <w:pPr>
        <w:spacing w:after="120"/>
        <w:jc w:val="both"/>
        <w:rPr>
          <w:b/>
          <w:lang w:val="en-NZ" w:eastAsia="ko-KR"/>
        </w:rPr>
      </w:pPr>
      <w:r w:rsidRPr="00846E15">
        <w:rPr>
          <w:b/>
          <w:lang w:val="en-NZ" w:eastAsia="ko-KR"/>
        </w:rPr>
        <w:t xml:space="preserve">7.1.1 </w:t>
      </w:r>
      <w:r w:rsidRPr="00846E15">
        <w:rPr>
          <w:b/>
          <w:lang w:val="en-NZ" w:eastAsia="ko-KR"/>
        </w:rPr>
        <w:tab/>
      </w:r>
      <w:r w:rsidR="0048476F">
        <w:rPr>
          <w:b/>
          <w:lang w:val="en-NZ" w:eastAsia="ko-KR"/>
        </w:rPr>
        <w:t>ASMG</w:t>
      </w:r>
      <w:r w:rsidRPr="00846E15">
        <w:rPr>
          <w:b/>
          <w:lang w:val="en-NZ" w:eastAsia="ko-KR"/>
        </w:rPr>
        <w:t xml:space="preserve"> </w:t>
      </w:r>
      <w:r w:rsidRPr="00846E15">
        <w:t xml:space="preserve">- </w:t>
      </w:r>
      <w:r w:rsidRPr="00846E15">
        <w:rPr>
          <w:b/>
          <w:lang w:val="en-NZ" w:eastAsia="ko-KR"/>
        </w:rPr>
        <w:t>Document APG2</w:t>
      </w:r>
      <w:r w:rsidR="0048476F">
        <w:rPr>
          <w:b/>
          <w:lang w:val="en-NZ" w:eastAsia="ko-KR"/>
        </w:rPr>
        <w:t>3</w:t>
      </w:r>
      <w:r w:rsidRPr="00846E15">
        <w:rPr>
          <w:b/>
          <w:lang w:val="en-NZ" w:eastAsia="ko-KR"/>
        </w:rPr>
        <w:t>-</w:t>
      </w:r>
      <w:r w:rsidR="0048476F">
        <w:rPr>
          <w:b/>
          <w:lang w:val="en-NZ" w:eastAsia="ko-KR"/>
        </w:rPr>
        <w:t>4</w:t>
      </w:r>
      <w:r w:rsidRPr="00846E15">
        <w:rPr>
          <w:b/>
          <w:lang w:val="en-NZ" w:eastAsia="ko-KR"/>
        </w:rPr>
        <w:t>/INF-</w:t>
      </w:r>
      <w:r w:rsidR="0048476F">
        <w:rPr>
          <w:b/>
          <w:lang w:val="en-NZ" w:eastAsia="ko-KR"/>
        </w:rPr>
        <w:t>21</w:t>
      </w:r>
    </w:p>
    <w:p w14:paraId="1F18D0C2" w14:textId="254B3093" w:rsidR="00846E15" w:rsidRDefault="0048476F" w:rsidP="0048476F">
      <w:pPr>
        <w:autoSpaceDE w:val="0"/>
        <w:autoSpaceDN w:val="0"/>
        <w:adjustRightInd w:val="0"/>
        <w:jc w:val="both"/>
        <w:rPr>
          <w:rFonts w:eastAsia="Batang"/>
        </w:rPr>
      </w:pPr>
      <w:r w:rsidRPr="0048476F">
        <w:rPr>
          <w:rFonts w:eastAsia="Batang"/>
        </w:rPr>
        <w:t>Follow-up studies to emphasize on not imposing any constrains on fixed service and mobile service in the band 239.2 - 241 GHz in accordance with Resolution 662, and to consider the potential shift of existing allocations of the fixed and mobile service to the band 235-238 GHz, provided that no constrains imposed on the fixed and mobile service in this band.</w:t>
      </w:r>
    </w:p>
    <w:p w14:paraId="50933465" w14:textId="3A4DDAFD" w:rsidR="00F451F3" w:rsidRDefault="00F451F3" w:rsidP="0048476F">
      <w:pPr>
        <w:autoSpaceDE w:val="0"/>
        <w:autoSpaceDN w:val="0"/>
        <w:adjustRightInd w:val="0"/>
        <w:jc w:val="both"/>
        <w:rPr>
          <w:rFonts w:eastAsia="Batang"/>
        </w:rPr>
      </w:pPr>
    </w:p>
    <w:p w14:paraId="68DBA3BE" w14:textId="62341B8B" w:rsidR="00F451F3" w:rsidRPr="00846E15" w:rsidRDefault="00F451F3" w:rsidP="00F451F3">
      <w:pPr>
        <w:spacing w:after="120"/>
        <w:jc w:val="both"/>
        <w:rPr>
          <w:b/>
          <w:lang w:val="en-NZ" w:eastAsia="ko-KR"/>
        </w:rPr>
      </w:pPr>
      <w:r w:rsidRPr="00846E15">
        <w:rPr>
          <w:b/>
          <w:lang w:val="en-NZ" w:eastAsia="ko-KR"/>
        </w:rPr>
        <w:t>7.1.</w:t>
      </w:r>
      <w:r>
        <w:rPr>
          <w:b/>
          <w:lang w:val="en-NZ" w:eastAsia="ko-KR"/>
        </w:rPr>
        <w:t>2</w:t>
      </w:r>
      <w:r w:rsidRPr="00846E15">
        <w:rPr>
          <w:b/>
          <w:lang w:val="en-NZ" w:eastAsia="ko-KR"/>
        </w:rPr>
        <w:t xml:space="preserve"> </w:t>
      </w:r>
      <w:r w:rsidRPr="00846E15">
        <w:rPr>
          <w:b/>
          <w:lang w:val="en-NZ" w:eastAsia="ko-KR"/>
        </w:rPr>
        <w:tab/>
      </w:r>
      <w:r>
        <w:rPr>
          <w:b/>
          <w:lang w:val="en-NZ" w:eastAsia="ko-KR"/>
        </w:rPr>
        <w:t>CITEL</w:t>
      </w:r>
      <w:r w:rsidRPr="00846E15">
        <w:rPr>
          <w:b/>
          <w:lang w:val="en-NZ" w:eastAsia="ko-KR"/>
        </w:rPr>
        <w:t xml:space="preserve"> </w:t>
      </w:r>
      <w:r w:rsidRPr="00846E15">
        <w:t xml:space="preserve">- </w:t>
      </w:r>
      <w:r w:rsidRPr="00846E15">
        <w:rPr>
          <w:b/>
          <w:lang w:val="en-NZ" w:eastAsia="ko-KR"/>
        </w:rPr>
        <w:t>Document APG2</w:t>
      </w:r>
      <w:r>
        <w:rPr>
          <w:b/>
          <w:lang w:val="en-NZ" w:eastAsia="ko-KR"/>
        </w:rPr>
        <w:t>3</w:t>
      </w:r>
      <w:r w:rsidRPr="00846E15">
        <w:rPr>
          <w:b/>
          <w:lang w:val="en-NZ" w:eastAsia="ko-KR"/>
        </w:rPr>
        <w:t>-</w:t>
      </w:r>
      <w:r>
        <w:rPr>
          <w:b/>
          <w:lang w:val="en-NZ" w:eastAsia="ko-KR"/>
        </w:rPr>
        <w:t>4</w:t>
      </w:r>
      <w:r w:rsidRPr="00846E15">
        <w:rPr>
          <w:b/>
          <w:lang w:val="en-NZ" w:eastAsia="ko-KR"/>
        </w:rPr>
        <w:t>/INF-</w:t>
      </w:r>
      <w:r>
        <w:rPr>
          <w:b/>
          <w:lang w:val="en-NZ" w:eastAsia="ko-KR"/>
        </w:rPr>
        <w:t>28</w:t>
      </w:r>
    </w:p>
    <w:p w14:paraId="160D6F5B" w14:textId="2844FA2C" w:rsidR="00846E15" w:rsidRPr="0006368B" w:rsidRDefault="00F451F3" w:rsidP="00AA2C5D">
      <w:pPr>
        <w:autoSpaceDE w:val="0"/>
        <w:autoSpaceDN w:val="0"/>
        <w:adjustRightInd w:val="0"/>
        <w:jc w:val="both"/>
        <w:rPr>
          <w:rFonts w:eastAsia="Batang"/>
        </w:rPr>
      </w:pPr>
      <w:r w:rsidRPr="0006368B">
        <w:rPr>
          <w:rFonts w:eastAsia="Batang"/>
        </w:rPr>
        <w:t>Some administrations support studies to review the existing EESS (passive) allocations and consider possible adjustments to existing allocations or new allocations to the EESS (passive) within the frequency range 231.5-252 GHz in accordance with Resolution 662 (WRC-19), without unduly constraining the primary services currently allocated.</w:t>
      </w:r>
    </w:p>
    <w:p w14:paraId="793E35E2" w14:textId="77777777" w:rsidR="00F06B18" w:rsidRPr="0006368B" w:rsidRDefault="00F06B18" w:rsidP="00F451F3">
      <w:pPr>
        <w:autoSpaceDE w:val="0"/>
        <w:autoSpaceDN w:val="0"/>
        <w:adjustRightInd w:val="0"/>
        <w:rPr>
          <w:rFonts w:eastAsia="Batang"/>
        </w:rPr>
      </w:pPr>
    </w:p>
    <w:p w14:paraId="1E7AADE4" w14:textId="516DEA4A" w:rsidR="00F06B18" w:rsidRPr="0006368B" w:rsidRDefault="00F06B18" w:rsidP="00F451F3">
      <w:pPr>
        <w:autoSpaceDE w:val="0"/>
        <w:autoSpaceDN w:val="0"/>
        <w:adjustRightInd w:val="0"/>
        <w:rPr>
          <w:rFonts w:eastAsia="Batang"/>
          <w:b/>
          <w:bCs/>
        </w:rPr>
      </w:pPr>
      <w:r w:rsidRPr="0006368B">
        <w:rPr>
          <w:rFonts w:eastAsia="Batang"/>
          <w:b/>
          <w:bCs/>
        </w:rPr>
        <w:t>7.1.3</w:t>
      </w:r>
      <w:r w:rsidRPr="0006368B">
        <w:rPr>
          <w:rFonts w:eastAsia="Batang"/>
          <w:b/>
          <w:bCs/>
        </w:rPr>
        <w:tab/>
        <w:t>RCC – Document APG23-4/INF-44</w:t>
      </w:r>
    </w:p>
    <w:p w14:paraId="3861437F" w14:textId="399F2D2F" w:rsidR="00F451F3" w:rsidRPr="0006368B" w:rsidRDefault="00F06B18" w:rsidP="00846E15">
      <w:pPr>
        <w:keepNext/>
        <w:jc w:val="both"/>
        <w:outlineLvl w:val="1"/>
      </w:pPr>
      <w:r w:rsidRPr="0006368B">
        <w:lastRenderedPageBreak/>
        <w:t>The RCC Telecommunication Administrations consider the need to adjust and add possible new allocations to EESS (passive) in the frequency band 231.5-252 GHz.</w:t>
      </w:r>
    </w:p>
    <w:p w14:paraId="2A952736" w14:textId="77777777" w:rsidR="0006368B" w:rsidRDefault="0006368B" w:rsidP="00846E15">
      <w:pPr>
        <w:keepNext/>
        <w:jc w:val="both"/>
        <w:outlineLvl w:val="1"/>
        <w:rPr>
          <w:rFonts w:eastAsia="Malgun Gothic"/>
          <w:b/>
          <w:bCs/>
          <w:szCs w:val="20"/>
          <w:lang w:val="en-GB" w:eastAsia="ko-KR"/>
        </w:rPr>
      </w:pPr>
    </w:p>
    <w:p w14:paraId="1C75B779" w14:textId="2C404344" w:rsidR="00846E15" w:rsidRPr="00846E15" w:rsidRDefault="00846E15" w:rsidP="00846E15">
      <w:pPr>
        <w:keepNext/>
        <w:jc w:val="both"/>
        <w:outlineLvl w:val="1"/>
        <w:rPr>
          <w:rFonts w:eastAsia="Malgun Gothic"/>
          <w:b/>
          <w:bCs/>
          <w:szCs w:val="20"/>
          <w:lang w:val="en-GB" w:eastAsia="ko-KR"/>
        </w:rPr>
      </w:pPr>
      <w:r w:rsidRPr="00846E15">
        <w:rPr>
          <w:rFonts w:eastAsia="Malgun Gothic"/>
          <w:b/>
          <w:bCs/>
          <w:szCs w:val="20"/>
          <w:lang w:val="en-GB" w:eastAsia="ko-KR"/>
        </w:rPr>
        <w:t>7.2 International organizations</w:t>
      </w:r>
    </w:p>
    <w:p w14:paraId="6B0C6662" w14:textId="77777777" w:rsidR="00846E15" w:rsidRPr="00846E15" w:rsidRDefault="00846E15" w:rsidP="00846E15">
      <w:pPr>
        <w:jc w:val="both"/>
        <w:rPr>
          <w:lang w:val="en-NZ"/>
        </w:rPr>
      </w:pPr>
    </w:p>
    <w:p w14:paraId="55C0BE1A" w14:textId="69FFE9AF" w:rsidR="00846E15" w:rsidRPr="00846E15" w:rsidRDefault="00846E15" w:rsidP="00846E15">
      <w:pPr>
        <w:spacing w:after="120"/>
        <w:jc w:val="both"/>
        <w:rPr>
          <w:b/>
          <w:lang w:val="en-NZ" w:eastAsia="ko-KR"/>
        </w:rPr>
      </w:pPr>
      <w:r w:rsidRPr="00846E15">
        <w:rPr>
          <w:b/>
          <w:lang w:val="en-NZ" w:eastAsia="ko-KR"/>
        </w:rPr>
        <w:t xml:space="preserve">7.2.1 </w:t>
      </w:r>
      <w:r w:rsidRPr="00846E15">
        <w:rPr>
          <w:b/>
          <w:lang w:val="en-NZ" w:eastAsia="ko-KR"/>
        </w:rPr>
        <w:tab/>
        <w:t>WMO</w:t>
      </w:r>
      <w:r w:rsidRPr="00846E15">
        <w:t xml:space="preserve"> - </w:t>
      </w:r>
      <w:r w:rsidRPr="00846E15">
        <w:rPr>
          <w:b/>
          <w:lang w:val="en-NZ" w:eastAsia="ko-KR"/>
        </w:rPr>
        <w:t>Document APG23-</w:t>
      </w:r>
      <w:r w:rsidR="00EF4EB8">
        <w:rPr>
          <w:b/>
          <w:lang w:val="en-NZ" w:eastAsia="ko-KR"/>
        </w:rPr>
        <w:t>4</w:t>
      </w:r>
      <w:r w:rsidRPr="00846E15">
        <w:rPr>
          <w:b/>
          <w:lang w:val="en-NZ" w:eastAsia="ko-KR"/>
        </w:rPr>
        <w:t>/INF-</w:t>
      </w:r>
      <w:r w:rsidR="00EF4EB8">
        <w:rPr>
          <w:b/>
          <w:lang w:val="en-NZ" w:eastAsia="ko-KR"/>
        </w:rPr>
        <w:t>03</w:t>
      </w:r>
    </w:p>
    <w:p w14:paraId="5219310C" w14:textId="3FE352A0" w:rsidR="00846E15" w:rsidRDefault="00EF4EB8" w:rsidP="00846E15">
      <w:pPr>
        <w:jc w:val="both"/>
      </w:pPr>
      <w:r w:rsidRPr="00EF4EB8">
        <w:t>WMO supports conducting studies to align or add possible new allocations to the EESS (passive) in the 231.5-252 GHz frequency range with current and future operational requirements. For covering ice cloud measurements, the assessment of the bands 239.2-242.2 GHz and 244.2-247.2 GHz is supported.</w:t>
      </w:r>
    </w:p>
    <w:p w14:paraId="0EE58B50" w14:textId="77777777" w:rsidR="00EF4EB8" w:rsidRPr="00846E15" w:rsidRDefault="00EF4EB8" w:rsidP="00846E15">
      <w:pPr>
        <w:jc w:val="both"/>
        <w:rPr>
          <w:b/>
        </w:rPr>
      </w:pPr>
    </w:p>
    <w:p w14:paraId="2B7B8B54" w14:textId="5CE56361" w:rsidR="00846E15" w:rsidRPr="00846E15" w:rsidRDefault="00846E15" w:rsidP="00846E15">
      <w:pPr>
        <w:jc w:val="both"/>
        <w:rPr>
          <w:b/>
        </w:rPr>
      </w:pPr>
      <w:r w:rsidRPr="00846E15">
        <w:rPr>
          <w:b/>
        </w:rPr>
        <w:t>7.2.1 IARU</w:t>
      </w:r>
      <w:r w:rsidRPr="00846E15">
        <w:rPr>
          <w:rFonts w:eastAsiaTheme="minorEastAsia"/>
          <w:b/>
          <w:lang w:eastAsia="ja-JP"/>
        </w:rPr>
        <w:t xml:space="preserve">- </w:t>
      </w:r>
      <w:r w:rsidRPr="00846E15">
        <w:rPr>
          <w:b/>
          <w:lang w:val="en-NZ" w:eastAsia="ko-KR"/>
        </w:rPr>
        <w:t>Document APG23-</w:t>
      </w:r>
      <w:r w:rsidR="00EF4EB8">
        <w:rPr>
          <w:b/>
          <w:lang w:val="en-NZ" w:eastAsia="ko-KR"/>
        </w:rPr>
        <w:t>4</w:t>
      </w:r>
      <w:r w:rsidRPr="00846E15">
        <w:rPr>
          <w:b/>
          <w:lang w:val="en-NZ" w:eastAsia="ko-KR"/>
        </w:rPr>
        <w:t>/INF-</w:t>
      </w:r>
      <w:r w:rsidR="009D1007">
        <w:rPr>
          <w:b/>
          <w:lang w:val="en-NZ" w:eastAsia="ko-KR"/>
        </w:rPr>
        <w:t>27</w:t>
      </w:r>
    </w:p>
    <w:p w14:paraId="3D9CD38F" w14:textId="77777777" w:rsidR="00846E15" w:rsidRPr="00846E15" w:rsidRDefault="00846E15" w:rsidP="00846E15">
      <w:pPr>
        <w:widowControl w:val="0"/>
        <w:autoSpaceDE w:val="0"/>
        <w:autoSpaceDN w:val="0"/>
        <w:adjustRightInd w:val="0"/>
        <w:jc w:val="both"/>
        <w:rPr>
          <w:rFonts w:eastAsiaTheme="minorEastAsia"/>
          <w:lang w:eastAsia="ja-JP"/>
        </w:rPr>
      </w:pPr>
    </w:p>
    <w:p w14:paraId="4F56A3A8" w14:textId="2D78CEB2" w:rsidR="009D1007" w:rsidRPr="009D1007" w:rsidRDefault="009D1007" w:rsidP="009D1007">
      <w:pPr>
        <w:jc w:val="both"/>
        <w:rPr>
          <w:rFonts w:eastAsia="Times New Roman"/>
          <w:kern w:val="2"/>
          <w:lang w:eastAsia="ar-SA"/>
        </w:rPr>
      </w:pPr>
      <w:r w:rsidRPr="003965AB">
        <w:rPr>
          <w:rFonts w:eastAsia="Times New Roman"/>
          <w:kern w:val="2"/>
          <w:lang w:eastAsia="ar-SA"/>
        </w:rPr>
        <w:t>The IARU supports retention of the 248-250 GHz primary allocations and the 241 – 248 GHz</w:t>
      </w:r>
      <w:r>
        <w:rPr>
          <w:rFonts w:eastAsia="Times New Roman"/>
          <w:kern w:val="2"/>
          <w:lang w:eastAsia="ar-SA"/>
        </w:rPr>
        <w:t xml:space="preserve"> </w:t>
      </w:r>
      <w:r w:rsidRPr="003965AB">
        <w:rPr>
          <w:rFonts w:eastAsia="Times New Roman"/>
          <w:kern w:val="2"/>
          <w:lang w:eastAsia="ar-SA"/>
        </w:rPr>
        <w:t>secondary allocations to the amateur and amateur-satellite services.</w:t>
      </w:r>
      <w:r>
        <w:rPr>
          <w:rFonts w:eastAsia="Times New Roman"/>
          <w:kern w:val="2"/>
          <w:lang w:eastAsia="ar-SA"/>
        </w:rPr>
        <w:t xml:space="preserve"> </w:t>
      </w:r>
      <w:r w:rsidRPr="003965AB">
        <w:rPr>
          <w:rFonts w:eastAsia="Times New Roman"/>
          <w:kern w:val="2"/>
          <w:lang w:eastAsia="ar-SA"/>
        </w:rPr>
        <w:t>Within this frequency range there is ongoing experimentation by amateur service stations,</w:t>
      </w:r>
      <w:r>
        <w:rPr>
          <w:rFonts w:eastAsia="Times New Roman"/>
          <w:kern w:val="2"/>
          <w:lang w:eastAsia="ar-SA"/>
        </w:rPr>
        <w:t xml:space="preserve"> </w:t>
      </w:r>
      <w:r w:rsidRPr="003965AB">
        <w:rPr>
          <w:rFonts w:eastAsia="Times New Roman"/>
          <w:kern w:val="2"/>
          <w:lang w:eastAsia="ar-SA"/>
        </w:rPr>
        <w:t>which is expected to grow as technology and equipment availability improves. Any</w:t>
      </w:r>
      <w:r>
        <w:rPr>
          <w:rFonts w:eastAsia="Times New Roman"/>
          <w:kern w:val="2"/>
          <w:lang w:eastAsia="ar-SA"/>
        </w:rPr>
        <w:t xml:space="preserve"> i</w:t>
      </w:r>
      <w:r w:rsidRPr="003965AB">
        <w:rPr>
          <w:rFonts w:eastAsia="Times New Roman"/>
          <w:kern w:val="2"/>
          <w:lang w:eastAsia="ar-SA"/>
        </w:rPr>
        <w:t>ntroduction of EESS into the 241-250 GHz frequency range should not unduly constrain the</w:t>
      </w:r>
      <w:r>
        <w:rPr>
          <w:rFonts w:eastAsia="Times New Roman"/>
          <w:kern w:val="2"/>
          <w:lang w:eastAsia="ar-SA"/>
        </w:rPr>
        <w:t xml:space="preserve"> </w:t>
      </w:r>
      <w:r w:rsidRPr="003965AB">
        <w:rPr>
          <w:rFonts w:eastAsia="Times New Roman"/>
          <w:kern w:val="2"/>
          <w:lang w:eastAsia="ar-SA"/>
        </w:rPr>
        <w:t>ongoing experimental use by the amateur and amateur satellite services in their secondary</w:t>
      </w:r>
      <w:r>
        <w:rPr>
          <w:rFonts w:eastAsia="Times New Roman"/>
          <w:kern w:val="2"/>
          <w:lang w:eastAsia="ar-SA"/>
        </w:rPr>
        <w:t xml:space="preserve"> </w:t>
      </w:r>
      <w:r w:rsidRPr="003965AB">
        <w:rPr>
          <w:rFonts w:eastAsia="Times New Roman"/>
          <w:kern w:val="2"/>
          <w:lang w:eastAsia="ar-SA"/>
        </w:rPr>
        <w:t>and primary allocations or their future development.</w:t>
      </w:r>
    </w:p>
    <w:p w14:paraId="1E9C34E4" w14:textId="77777777" w:rsidR="00846E15" w:rsidRPr="00846E15" w:rsidRDefault="00846E15" w:rsidP="009D1007">
      <w:pPr>
        <w:suppressAutoHyphens/>
        <w:jc w:val="both"/>
        <w:rPr>
          <w:rFonts w:eastAsia="Times New Roman"/>
          <w:kern w:val="2"/>
          <w:lang w:eastAsia="ar-SA"/>
        </w:rPr>
      </w:pPr>
    </w:p>
    <w:p w14:paraId="69A5C526" w14:textId="77777777" w:rsidR="00846E15" w:rsidRPr="00846E15" w:rsidRDefault="00846E15" w:rsidP="00846E15">
      <w:pPr>
        <w:jc w:val="both"/>
        <w:rPr>
          <w:lang w:val="en-NZ"/>
        </w:rPr>
      </w:pPr>
    </w:p>
    <w:p w14:paraId="072B764C" w14:textId="77777777" w:rsidR="00835B89" w:rsidRDefault="00835B89" w:rsidP="00846E15">
      <w:pPr>
        <w:jc w:val="center"/>
        <w:rPr>
          <w:b/>
        </w:rPr>
      </w:pPr>
    </w:p>
    <w:sectPr w:rsidR="00835B89" w:rsidSect="00FF72BB">
      <w:headerReference w:type="even" r:id="rId17"/>
      <w:headerReference w:type="default" r:id="rId18"/>
      <w:footerReference w:type="even" r:id="rId19"/>
      <w:footerReference w:type="default" r:id="rId20"/>
      <w:headerReference w:type="first" r:id="rId21"/>
      <w:footerReference w:type="first" r:id="rId2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3CA2" w14:textId="77777777" w:rsidR="007B3DAC" w:rsidRDefault="007B3DAC">
      <w:r>
        <w:separator/>
      </w:r>
    </w:p>
  </w:endnote>
  <w:endnote w:type="continuationSeparator" w:id="0">
    <w:p w14:paraId="1619BCE6" w14:textId="77777777" w:rsidR="007B3DAC" w:rsidRDefault="007B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4DD9"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778F0"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E653" w14:textId="0AC1372D" w:rsidR="00051E1E" w:rsidRDefault="00051E1E">
    <w:pPr>
      <w:pStyle w:val="Footer"/>
    </w:pPr>
    <w:r>
      <w:t>A</w:t>
    </w:r>
    <w:r w:rsidR="001E1432">
      <w:t>PG23-</w:t>
    </w:r>
    <w:r w:rsidR="00547A21">
      <w:t>4</w:t>
    </w:r>
    <w:r>
      <w:t>/</w:t>
    </w:r>
    <w:r w:rsidR="002852E8">
      <w:t>OUT-</w:t>
    </w:r>
    <w:r w:rsidR="00D35359">
      <w:t>23</w:t>
    </w:r>
    <w:r>
      <w:tab/>
    </w:r>
    <w:r>
      <w:tab/>
      <w:t xml:space="preserve">Page </w:t>
    </w:r>
    <w:r>
      <w:rPr>
        <w:b/>
        <w:bCs/>
      </w:rPr>
      <w:fldChar w:fldCharType="begin"/>
    </w:r>
    <w:r>
      <w:rPr>
        <w:b/>
        <w:bCs/>
      </w:rPr>
      <w:instrText xml:space="preserve"> PAGE  \* Arabic  \* MERGEFORMAT </w:instrText>
    </w:r>
    <w:r>
      <w:rPr>
        <w:b/>
        <w:bCs/>
      </w:rPr>
      <w:fldChar w:fldCharType="separate"/>
    </w:r>
    <w:r w:rsidR="00046A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6A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0743E2C9" w14:textId="77777777" w:rsidTr="007E7497">
      <w:trPr>
        <w:cantSplit/>
        <w:trHeight w:val="204"/>
        <w:jc w:val="center"/>
      </w:trPr>
      <w:tc>
        <w:tcPr>
          <w:tcW w:w="1152" w:type="dxa"/>
        </w:tcPr>
        <w:p w14:paraId="6E31580B" w14:textId="77777777" w:rsidR="00B54758" w:rsidRDefault="00B54758" w:rsidP="007E7497">
          <w:pPr>
            <w:rPr>
              <w:b/>
              <w:bCs/>
            </w:rPr>
          </w:pPr>
          <w:r>
            <w:rPr>
              <w:b/>
              <w:bCs/>
            </w:rPr>
            <w:t>Contact:</w:t>
          </w:r>
        </w:p>
      </w:tc>
      <w:tc>
        <w:tcPr>
          <w:tcW w:w="5040" w:type="dxa"/>
        </w:tcPr>
        <w:p w14:paraId="3736B6E6" w14:textId="4F41FEFA" w:rsidR="00EC249E" w:rsidRDefault="0068228C" w:rsidP="007E7497">
          <w:pPr>
            <w:pStyle w:val="Equation"/>
            <w:tabs>
              <w:tab w:val="clear" w:pos="794"/>
              <w:tab w:val="clear" w:pos="4820"/>
              <w:tab w:val="clear" w:pos="9639"/>
            </w:tabs>
            <w:spacing w:beforeLines="0"/>
            <w:rPr>
              <w:rFonts w:eastAsia="Batang"/>
            </w:rPr>
          </w:pPr>
          <w:r>
            <w:rPr>
              <w:rFonts w:eastAsia="Batang"/>
            </w:rPr>
            <w:t xml:space="preserve"> </w:t>
          </w:r>
        </w:p>
      </w:tc>
      <w:tc>
        <w:tcPr>
          <w:tcW w:w="3024" w:type="dxa"/>
        </w:tcPr>
        <w:p w14:paraId="49135F82" w14:textId="31DF9A55" w:rsidR="00B54758" w:rsidRDefault="00B54758" w:rsidP="00E23D98">
          <w:pPr>
            <w:rPr>
              <w:lang w:eastAsia="ja-JP"/>
            </w:rPr>
          </w:pPr>
          <w:r w:rsidRPr="00C05BD3">
            <w:rPr>
              <w:b/>
              <w:bCs/>
            </w:rPr>
            <w:t>Email</w:t>
          </w:r>
          <w:r w:rsidRPr="00C05BD3">
            <w:rPr>
              <w:rFonts w:hint="eastAsia"/>
              <w:b/>
              <w:bCs/>
            </w:rPr>
            <w:t>:</w:t>
          </w:r>
          <w:r>
            <w:t xml:space="preserve"> </w:t>
          </w:r>
        </w:p>
      </w:tc>
    </w:tr>
  </w:tbl>
  <w:p w14:paraId="525FE35A"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EA24" w14:textId="77777777" w:rsidR="007B3DAC" w:rsidRDefault="007B3DAC">
      <w:r>
        <w:separator/>
      </w:r>
    </w:p>
  </w:footnote>
  <w:footnote w:type="continuationSeparator" w:id="0">
    <w:p w14:paraId="4B03706A" w14:textId="77777777" w:rsidR="007B3DAC" w:rsidRDefault="007B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657A" w14:textId="77777777" w:rsidR="003E2563" w:rsidRDefault="003E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0760" w14:textId="77777777" w:rsidR="00B54758" w:rsidRDefault="00B54758" w:rsidP="008E3821">
    <w:pPr>
      <w:pStyle w:val="Header"/>
      <w:tabs>
        <w:tab w:val="clear" w:pos="4320"/>
        <w:tab w:val="clear" w:pos="8640"/>
      </w:tabs>
      <w:rPr>
        <w:lang w:eastAsia="ko-KR"/>
      </w:rPr>
    </w:pPr>
  </w:p>
  <w:p w14:paraId="402DC158"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74FF" w14:textId="77777777" w:rsidR="003E2563" w:rsidRDefault="003E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E38AF"/>
    <w:multiLevelType w:val="hybridMultilevel"/>
    <w:tmpl w:val="C24EB500"/>
    <w:lvl w:ilvl="0" w:tplc="C366B1E0">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71C635B"/>
    <w:multiLevelType w:val="hybridMultilevel"/>
    <w:tmpl w:val="DAE4EE32"/>
    <w:lvl w:ilvl="0" w:tplc="04090001">
      <w:start w:val="1"/>
      <w:numFmt w:val="bullet"/>
      <w:lvlText w:val=""/>
      <w:lvlJc w:val="left"/>
      <w:pPr>
        <w:ind w:left="1880" w:hanging="400"/>
      </w:pPr>
      <w:rPr>
        <w:rFonts w:ascii="Symbol" w:hAnsi="Symbol"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E1A4D"/>
    <w:multiLevelType w:val="hybridMultilevel"/>
    <w:tmpl w:val="626668FE"/>
    <w:lvl w:ilvl="0" w:tplc="A114EBFA">
      <w:start w:val="1"/>
      <w:numFmt w:val="bullet"/>
      <w:lvlText w:val="-"/>
      <w:lvlJc w:val="left"/>
      <w:pPr>
        <w:ind w:left="1353" w:hanging="360"/>
      </w:pPr>
      <w:rPr>
        <w:rFonts w:ascii="Malgun Gothic" w:eastAsia="Malgun Gothic" w:hAnsi="Malgun Gothic" w:cstheme="minorBidi" w:hint="eastAsia"/>
      </w:rPr>
    </w:lvl>
    <w:lvl w:ilvl="1" w:tplc="78501A74">
      <w:start w:val="1"/>
      <w:numFmt w:val="decimal"/>
      <w:lvlText w:val="%2."/>
      <w:lvlJc w:val="left"/>
      <w:pPr>
        <w:ind w:left="1793" w:hanging="400"/>
      </w:pPr>
      <w:rPr>
        <w:rFonts w:hint="default"/>
        <w:i w:val="0"/>
        <w:iCs/>
      </w:rPr>
    </w:lvl>
    <w:lvl w:ilvl="2" w:tplc="5302D9CC">
      <w:start w:val="5"/>
      <w:numFmt w:val="bullet"/>
      <w:lvlText w:val="-"/>
      <w:lvlJc w:val="left"/>
      <w:pPr>
        <w:ind w:left="2193" w:hanging="400"/>
      </w:pPr>
      <w:rPr>
        <w:rFonts w:ascii="Calibri" w:eastAsia="Times New Roman" w:hAnsi="Calibri"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0"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D3951"/>
    <w:multiLevelType w:val="multilevel"/>
    <w:tmpl w:val="48346B64"/>
    <w:lvl w:ilvl="0">
      <w:start w:val="1"/>
      <w:numFmt w:val="decimal"/>
      <w:lvlText w:val="%1."/>
      <w:lvlJc w:val="left"/>
      <w:pPr>
        <w:ind w:left="720" w:hanging="720"/>
      </w:pPr>
      <w:rPr>
        <w:rFonts w:hint="default"/>
      </w:rPr>
    </w:lvl>
    <w:lvl w:ilvl="1">
      <w:start w:val="4"/>
      <w:numFmt w:val="decimal"/>
      <w:isLgl/>
      <w:lvlText w:val="%1.%2"/>
      <w:lvlJc w:val="left"/>
      <w:pPr>
        <w:ind w:left="360" w:hanging="360"/>
      </w:pPr>
      <w:rPr>
        <w:rFonts w:eastAsia="BatangChe" w:hint="default"/>
      </w:rPr>
    </w:lvl>
    <w:lvl w:ilvl="2">
      <w:start w:val="1"/>
      <w:numFmt w:val="decimal"/>
      <w:isLgl/>
      <w:lvlText w:val="%1.%2.%3"/>
      <w:lvlJc w:val="left"/>
      <w:pPr>
        <w:ind w:left="720" w:hanging="720"/>
      </w:pPr>
      <w:rPr>
        <w:rFonts w:eastAsia="BatangChe" w:hint="default"/>
      </w:rPr>
    </w:lvl>
    <w:lvl w:ilvl="3">
      <w:start w:val="1"/>
      <w:numFmt w:val="decimal"/>
      <w:isLgl/>
      <w:lvlText w:val="%1.%2.%3.%4"/>
      <w:lvlJc w:val="left"/>
      <w:pPr>
        <w:ind w:left="720" w:hanging="720"/>
      </w:pPr>
      <w:rPr>
        <w:rFonts w:eastAsia="BatangChe" w:hint="default"/>
      </w:rPr>
    </w:lvl>
    <w:lvl w:ilvl="4">
      <w:start w:val="1"/>
      <w:numFmt w:val="decimal"/>
      <w:isLgl/>
      <w:lvlText w:val="%1.%2.%3.%4.%5"/>
      <w:lvlJc w:val="left"/>
      <w:pPr>
        <w:ind w:left="1080" w:hanging="1080"/>
      </w:pPr>
      <w:rPr>
        <w:rFonts w:eastAsia="BatangChe" w:hint="default"/>
      </w:rPr>
    </w:lvl>
    <w:lvl w:ilvl="5">
      <w:start w:val="1"/>
      <w:numFmt w:val="decimal"/>
      <w:isLgl/>
      <w:lvlText w:val="%1.%2.%3.%4.%5.%6"/>
      <w:lvlJc w:val="left"/>
      <w:pPr>
        <w:ind w:left="1080" w:hanging="1080"/>
      </w:pPr>
      <w:rPr>
        <w:rFonts w:eastAsia="BatangChe" w:hint="default"/>
      </w:rPr>
    </w:lvl>
    <w:lvl w:ilvl="6">
      <w:start w:val="1"/>
      <w:numFmt w:val="decimal"/>
      <w:isLgl/>
      <w:lvlText w:val="%1.%2.%3.%4.%5.%6.%7"/>
      <w:lvlJc w:val="left"/>
      <w:pPr>
        <w:ind w:left="1440" w:hanging="1440"/>
      </w:pPr>
      <w:rPr>
        <w:rFonts w:eastAsia="BatangChe" w:hint="default"/>
      </w:rPr>
    </w:lvl>
    <w:lvl w:ilvl="7">
      <w:start w:val="1"/>
      <w:numFmt w:val="decimal"/>
      <w:isLgl/>
      <w:lvlText w:val="%1.%2.%3.%4.%5.%6.%7.%8"/>
      <w:lvlJc w:val="left"/>
      <w:pPr>
        <w:ind w:left="1440" w:hanging="1440"/>
      </w:pPr>
      <w:rPr>
        <w:rFonts w:eastAsia="BatangChe" w:hint="default"/>
      </w:rPr>
    </w:lvl>
    <w:lvl w:ilvl="8">
      <w:start w:val="1"/>
      <w:numFmt w:val="decimal"/>
      <w:isLgl/>
      <w:lvlText w:val="%1.%2.%3.%4.%5.%6.%7.%8.%9"/>
      <w:lvlJc w:val="left"/>
      <w:pPr>
        <w:ind w:left="1800" w:hanging="1800"/>
      </w:pPr>
      <w:rPr>
        <w:rFonts w:eastAsia="BatangChe"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902838170">
    <w:abstractNumId w:val="15"/>
  </w:num>
  <w:num w:numId="2" w16cid:durableId="1280264731">
    <w:abstractNumId w:val="9"/>
  </w:num>
  <w:num w:numId="3" w16cid:durableId="1979845919">
    <w:abstractNumId w:val="8"/>
  </w:num>
  <w:num w:numId="4" w16cid:durableId="993679660">
    <w:abstractNumId w:val="22"/>
  </w:num>
  <w:num w:numId="5" w16cid:durableId="2126541384">
    <w:abstractNumId w:val="12"/>
  </w:num>
  <w:num w:numId="6" w16cid:durableId="1491604652">
    <w:abstractNumId w:val="16"/>
  </w:num>
  <w:num w:numId="7" w16cid:durableId="996500483">
    <w:abstractNumId w:val="7"/>
  </w:num>
  <w:num w:numId="8" w16cid:durableId="1060441599">
    <w:abstractNumId w:val="2"/>
  </w:num>
  <w:num w:numId="9" w16cid:durableId="600994277">
    <w:abstractNumId w:val="24"/>
  </w:num>
  <w:num w:numId="10" w16cid:durableId="1203133807">
    <w:abstractNumId w:val="0"/>
  </w:num>
  <w:num w:numId="11" w16cid:durableId="1041515728">
    <w:abstractNumId w:val="23"/>
  </w:num>
  <w:num w:numId="12" w16cid:durableId="1642463911">
    <w:abstractNumId w:val="13"/>
  </w:num>
  <w:num w:numId="13" w16cid:durableId="1260143400">
    <w:abstractNumId w:val="18"/>
  </w:num>
  <w:num w:numId="14" w16cid:durableId="100344235">
    <w:abstractNumId w:val="10"/>
  </w:num>
  <w:num w:numId="15" w16cid:durableId="1781796862">
    <w:abstractNumId w:val="5"/>
  </w:num>
  <w:num w:numId="16" w16cid:durableId="1404647676">
    <w:abstractNumId w:val="4"/>
  </w:num>
  <w:num w:numId="17" w16cid:durableId="1677078891">
    <w:abstractNumId w:val="6"/>
  </w:num>
  <w:num w:numId="18" w16cid:durableId="1651401407">
    <w:abstractNumId w:val="14"/>
  </w:num>
  <w:num w:numId="19" w16cid:durableId="1769156637">
    <w:abstractNumId w:val="20"/>
  </w:num>
  <w:num w:numId="20" w16cid:durableId="1028142322">
    <w:abstractNumId w:val="3"/>
  </w:num>
  <w:num w:numId="21" w16cid:durableId="1553540952">
    <w:abstractNumId w:val="11"/>
  </w:num>
  <w:num w:numId="22" w16cid:durableId="2070376781">
    <w:abstractNumId w:val="17"/>
  </w:num>
  <w:num w:numId="23" w16cid:durableId="1891502603">
    <w:abstractNumId w:val="19"/>
  </w:num>
  <w:num w:numId="24" w16cid:durableId="1260526907">
    <w:abstractNumId w:val="1"/>
  </w:num>
  <w:num w:numId="25" w16cid:durableId="869343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tbCwNDG0tDQ2tDRW0lEKTi0uzszPAykwrgUArJnpTCwAAAA="/>
  </w:docVars>
  <w:rsids>
    <w:rsidRoot w:val="001711FE"/>
    <w:rsid w:val="00000B9E"/>
    <w:rsid w:val="0000174B"/>
    <w:rsid w:val="000265FC"/>
    <w:rsid w:val="0003595B"/>
    <w:rsid w:val="00036385"/>
    <w:rsid w:val="00044418"/>
    <w:rsid w:val="00046ABB"/>
    <w:rsid w:val="00051E1E"/>
    <w:rsid w:val="00054C56"/>
    <w:rsid w:val="0006368B"/>
    <w:rsid w:val="00063DF8"/>
    <w:rsid w:val="000713CF"/>
    <w:rsid w:val="00075C14"/>
    <w:rsid w:val="00094B87"/>
    <w:rsid w:val="00096DDC"/>
    <w:rsid w:val="000A1F8C"/>
    <w:rsid w:val="000A5418"/>
    <w:rsid w:val="000A73EA"/>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53C43"/>
    <w:rsid w:val="00164353"/>
    <w:rsid w:val="001711FE"/>
    <w:rsid w:val="00174FC3"/>
    <w:rsid w:val="00175BD2"/>
    <w:rsid w:val="0018114D"/>
    <w:rsid w:val="001827B7"/>
    <w:rsid w:val="001832C2"/>
    <w:rsid w:val="001923E8"/>
    <w:rsid w:val="00196568"/>
    <w:rsid w:val="00197B92"/>
    <w:rsid w:val="001A2F16"/>
    <w:rsid w:val="001A34FF"/>
    <w:rsid w:val="001B18C2"/>
    <w:rsid w:val="001C320C"/>
    <w:rsid w:val="001D5D7E"/>
    <w:rsid w:val="001E1432"/>
    <w:rsid w:val="001E416B"/>
    <w:rsid w:val="001F285D"/>
    <w:rsid w:val="001F5947"/>
    <w:rsid w:val="00204815"/>
    <w:rsid w:val="002064CA"/>
    <w:rsid w:val="0021588B"/>
    <w:rsid w:val="002216AC"/>
    <w:rsid w:val="002219FD"/>
    <w:rsid w:val="002275E3"/>
    <w:rsid w:val="0023010A"/>
    <w:rsid w:val="00230738"/>
    <w:rsid w:val="00231F10"/>
    <w:rsid w:val="00234735"/>
    <w:rsid w:val="00235DBC"/>
    <w:rsid w:val="00241BCF"/>
    <w:rsid w:val="00254A1B"/>
    <w:rsid w:val="002613E2"/>
    <w:rsid w:val="0026736F"/>
    <w:rsid w:val="00275ED2"/>
    <w:rsid w:val="0028454D"/>
    <w:rsid w:val="002852E8"/>
    <w:rsid w:val="00286912"/>
    <w:rsid w:val="00287A2A"/>
    <w:rsid w:val="00291C9E"/>
    <w:rsid w:val="002926D4"/>
    <w:rsid w:val="002A505E"/>
    <w:rsid w:val="002C07DA"/>
    <w:rsid w:val="002C7EA9"/>
    <w:rsid w:val="002E54E0"/>
    <w:rsid w:val="002E65A7"/>
    <w:rsid w:val="002F2F9A"/>
    <w:rsid w:val="003131A3"/>
    <w:rsid w:val="0032142F"/>
    <w:rsid w:val="00327182"/>
    <w:rsid w:val="00336A0D"/>
    <w:rsid w:val="00342F20"/>
    <w:rsid w:val="00343067"/>
    <w:rsid w:val="00350EC2"/>
    <w:rsid w:val="003540E0"/>
    <w:rsid w:val="003548C2"/>
    <w:rsid w:val="0037421D"/>
    <w:rsid w:val="003809C7"/>
    <w:rsid w:val="003829E0"/>
    <w:rsid w:val="0039223B"/>
    <w:rsid w:val="003932C6"/>
    <w:rsid w:val="003B03B2"/>
    <w:rsid w:val="003B6263"/>
    <w:rsid w:val="003B6428"/>
    <w:rsid w:val="003C64A7"/>
    <w:rsid w:val="003D25E1"/>
    <w:rsid w:val="003D3FDA"/>
    <w:rsid w:val="003D483C"/>
    <w:rsid w:val="003E24F5"/>
    <w:rsid w:val="003E2563"/>
    <w:rsid w:val="003F688D"/>
    <w:rsid w:val="003F6D48"/>
    <w:rsid w:val="003F6FD0"/>
    <w:rsid w:val="00403CE4"/>
    <w:rsid w:val="00420822"/>
    <w:rsid w:val="0042126E"/>
    <w:rsid w:val="00425016"/>
    <w:rsid w:val="004323BB"/>
    <w:rsid w:val="00433925"/>
    <w:rsid w:val="004404C0"/>
    <w:rsid w:val="00440BEE"/>
    <w:rsid w:val="00444170"/>
    <w:rsid w:val="004470E1"/>
    <w:rsid w:val="0045458F"/>
    <w:rsid w:val="00454A3F"/>
    <w:rsid w:val="00455FD4"/>
    <w:rsid w:val="004633B4"/>
    <w:rsid w:val="00464637"/>
    <w:rsid w:val="00473DF6"/>
    <w:rsid w:val="00483317"/>
    <w:rsid w:val="00483D0B"/>
    <w:rsid w:val="0048476F"/>
    <w:rsid w:val="004854EE"/>
    <w:rsid w:val="004A4DE4"/>
    <w:rsid w:val="004B3553"/>
    <w:rsid w:val="004F733C"/>
    <w:rsid w:val="00514D59"/>
    <w:rsid w:val="00515050"/>
    <w:rsid w:val="0051686D"/>
    <w:rsid w:val="005201CA"/>
    <w:rsid w:val="00521BF0"/>
    <w:rsid w:val="00530E8C"/>
    <w:rsid w:val="005442A4"/>
    <w:rsid w:val="00545933"/>
    <w:rsid w:val="0054610B"/>
    <w:rsid w:val="00547A21"/>
    <w:rsid w:val="005549C9"/>
    <w:rsid w:val="00557544"/>
    <w:rsid w:val="005606F6"/>
    <w:rsid w:val="005614DC"/>
    <w:rsid w:val="005755CF"/>
    <w:rsid w:val="00575CDC"/>
    <w:rsid w:val="00577C0A"/>
    <w:rsid w:val="00587875"/>
    <w:rsid w:val="005B1E77"/>
    <w:rsid w:val="005B244E"/>
    <w:rsid w:val="005C1365"/>
    <w:rsid w:val="005C5EB6"/>
    <w:rsid w:val="005D3914"/>
    <w:rsid w:val="005D6B2F"/>
    <w:rsid w:val="005E3896"/>
    <w:rsid w:val="005E7359"/>
    <w:rsid w:val="005F17D0"/>
    <w:rsid w:val="00601F2D"/>
    <w:rsid w:val="00607E2B"/>
    <w:rsid w:val="006139D6"/>
    <w:rsid w:val="00623CE1"/>
    <w:rsid w:val="0063062B"/>
    <w:rsid w:val="00636BAD"/>
    <w:rsid w:val="006529D3"/>
    <w:rsid w:val="0066388B"/>
    <w:rsid w:val="00667229"/>
    <w:rsid w:val="00675C31"/>
    <w:rsid w:val="006769C2"/>
    <w:rsid w:val="0068228C"/>
    <w:rsid w:val="00682BE5"/>
    <w:rsid w:val="00683FCE"/>
    <w:rsid w:val="006843DA"/>
    <w:rsid w:val="00684F2A"/>
    <w:rsid w:val="00690FED"/>
    <w:rsid w:val="006939A5"/>
    <w:rsid w:val="006A15A4"/>
    <w:rsid w:val="006A17EE"/>
    <w:rsid w:val="006B6778"/>
    <w:rsid w:val="006C07A5"/>
    <w:rsid w:val="006C2D39"/>
    <w:rsid w:val="006E12FC"/>
    <w:rsid w:val="006E311A"/>
    <w:rsid w:val="006F029D"/>
    <w:rsid w:val="006F0580"/>
    <w:rsid w:val="006F375E"/>
    <w:rsid w:val="00705E61"/>
    <w:rsid w:val="007079E5"/>
    <w:rsid w:val="00712451"/>
    <w:rsid w:val="00731041"/>
    <w:rsid w:val="00732F08"/>
    <w:rsid w:val="007350E2"/>
    <w:rsid w:val="0074190C"/>
    <w:rsid w:val="00747C47"/>
    <w:rsid w:val="00762576"/>
    <w:rsid w:val="00772FD1"/>
    <w:rsid w:val="00791060"/>
    <w:rsid w:val="00794583"/>
    <w:rsid w:val="007A1BDE"/>
    <w:rsid w:val="007A3E29"/>
    <w:rsid w:val="007B3299"/>
    <w:rsid w:val="007B3D18"/>
    <w:rsid w:val="007B3DAC"/>
    <w:rsid w:val="007B5626"/>
    <w:rsid w:val="007B5E37"/>
    <w:rsid w:val="007C45BD"/>
    <w:rsid w:val="007D29E5"/>
    <w:rsid w:val="007E1FDD"/>
    <w:rsid w:val="007E31F5"/>
    <w:rsid w:val="007E7497"/>
    <w:rsid w:val="007F08FF"/>
    <w:rsid w:val="007F1651"/>
    <w:rsid w:val="00803C99"/>
    <w:rsid w:val="0080570B"/>
    <w:rsid w:val="00813E0B"/>
    <w:rsid w:val="008148E1"/>
    <w:rsid w:val="00816F4E"/>
    <w:rsid w:val="00827988"/>
    <w:rsid w:val="008308E7"/>
    <w:rsid w:val="00831716"/>
    <w:rsid w:val="008319BF"/>
    <w:rsid w:val="008337EA"/>
    <w:rsid w:val="00835B89"/>
    <w:rsid w:val="00835C85"/>
    <w:rsid w:val="00844A6D"/>
    <w:rsid w:val="00846E15"/>
    <w:rsid w:val="00850E1C"/>
    <w:rsid w:val="00870944"/>
    <w:rsid w:val="00872C6B"/>
    <w:rsid w:val="008950FB"/>
    <w:rsid w:val="0089591E"/>
    <w:rsid w:val="00897849"/>
    <w:rsid w:val="008A423E"/>
    <w:rsid w:val="008A73CD"/>
    <w:rsid w:val="008B453D"/>
    <w:rsid w:val="008D084B"/>
    <w:rsid w:val="008D0E09"/>
    <w:rsid w:val="008E1748"/>
    <w:rsid w:val="008E3821"/>
    <w:rsid w:val="008E418D"/>
    <w:rsid w:val="008F2153"/>
    <w:rsid w:val="008F301D"/>
    <w:rsid w:val="0091602D"/>
    <w:rsid w:val="009235BE"/>
    <w:rsid w:val="00926B5E"/>
    <w:rsid w:val="009444D8"/>
    <w:rsid w:val="00950680"/>
    <w:rsid w:val="00953737"/>
    <w:rsid w:val="00965219"/>
    <w:rsid w:val="00972289"/>
    <w:rsid w:val="0097693B"/>
    <w:rsid w:val="00983C3D"/>
    <w:rsid w:val="00993355"/>
    <w:rsid w:val="009A46BF"/>
    <w:rsid w:val="009A4A6D"/>
    <w:rsid w:val="009B710F"/>
    <w:rsid w:val="009B74AC"/>
    <w:rsid w:val="009C0B35"/>
    <w:rsid w:val="009C361C"/>
    <w:rsid w:val="009D1007"/>
    <w:rsid w:val="009D3DC5"/>
    <w:rsid w:val="009E352C"/>
    <w:rsid w:val="00A0503B"/>
    <w:rsid w:val="00A05851"/>
    <w:rsid w:val="00A13265"/>
    <w:rsid w:val="00A20980"/>
    <w:rsid w:val="00A21490"/>
    <w:rsid w:val="00A31185"/>
    <w:rsid w:val="00A40B5F"/>
    <w:rsid w:val="00A501BF"/>
    <w:rsid w:val="00A61885"/>
    <w:rsid w:val="00A71136"/>
    <w:rsid w:val="00A87441"/>
    <w:rsid w:val="00AA2C5D"/>
    <w:rsid w:val="00AA2D8E"/>
    <w:rsid w:val="00AA474C"/>
    <w:rsid w:val="00AB0EAD"/>
    <w:rsid w:val="00AB2572"/>
    <w:rsid w:val="00AC19BB"/>
    <w:rsid w:val="00AD7E5F"/>
    <w:rsid w:val="00AE6CB1"/>
    <w:rsid w:val="00AF6E67"/>
    <w:rsid w:val="00B01AA1"/>
    <w:rsid w:val="00B03086"/>
    <w:rsid w:val="00B03144"/>
    <w:rsid w:val="00B24089"/>
    <w:rsid w:val="00B30C81"/>
    <w:rsid w:val="00B34275"/>
    <w:rsid w:val="00B3474C"/>
    <w:rsid w:val="00B4793B"/>
    <w:rsid w:val="00B54758"/>
    <w:rsid w:val="00B56853"/>
    <w:rsid w:val="00B66740"/>
    <w:rsid w:val="00B71252"/>
    <w:rsid w:val="00B87B7A"/>
    <w:rsid w:val="00B9722C"/>
    <w:rsid w:val="00B97AC9"/>
    <w:rsid w:val="00BB7E96"/>
    <w:rsid w:val="00BC7506"/>
    <w:rsid w:val="00BE5485"/>
    <w:rsid w:val="00BF0F3E"/>
    <w:rsid w:val="00C05BD3"/>
    <w:rsid w:val="00C15633"/>
    <w:rsid w:val="00C15799"/>
    <w:rsid w:val="00C1598F"/>
    <w:rsid w:val="00C20F4D"/>
    <w:rsid w:val="00C256E8"/>
    <w:rsid w:val="00C26745"/>
    <w:rsid w:val="00C34D43"/>
    <w:rsid w:val="00C357AD"/>
    <w:rsid w:val="00C3644A"/>
    <w:rsid w:val="00C3669B"/>
    <w:rsid w:val="00C52EB3"/>
    <w:rsid w:val="00C6069C"/>
    <w:rsid w:val="00C73F61"/>
    <w:rsid w:val="00C75805"/>
    <w:rsid w:val="00C85119"/>
    <w:rsid w:val="00C86B6A"/>
    <w:rsid w:val="00C923EA"/>
    <w:rsid w:val="00CC1F29"/>
    <w:rsid w:val="00CC56C6"/>
    <w:rsid w:val="00CD5431"/>
    <w:rsid w:val="00CE6DD9"/>
    <w:rsid w:val="00CF2134"/>
    <w:rsid w:val="00CF2491"/>
    <w:rsid w:val="00CF2CBA"/>
    <w:rsid w:val="00CF3030"/>
    <w:rsid w:val="00CF5DDC"/>
    <w:rsid w:val="00D1252E"/>
    <w:rsid w:val="00D12CE1"/>
    <w:rsid w:val="00D2444D"/>
    <w:rsid w:val="00D31452"/>
    <w:rsid w:val="00D35359"/>
    <w:rsid w:val="00D500B1"/>
    <w:rsid w:val="00D5307B"/>
    <w:rsid w:val="00D57772"/>
    <w:rsid w:val="00D651AB"/>
    <w:rsid w:val="00D72AE3"/>
    <w:rsid w:val="00D75A4D"/>
    <w:rsid w:val="00D8478B"/>
    <w:rsid w:val="00D84CEE"/>
    <w:rsid w:val="00D856CF"/>
    <w:rsid w:val="00D86151"/>
    <w:rsid w:val="00D91215"/>
    <w:rsid w:val="00DA3CC4"/>
    <w:rsid w:val="00DA55F4"/>
    <w:rsid w:val="00DA7595"/>
    <w:rsid w:val="00DB0A68"/>
    <w:rsid w:val="00DB13B0"/>
    <w:rsid w:val="00DB28C8"/>
    <w:rsid w:val="00DB4A1C"/>
    <w:rsid w:val="00DB76DD"/>
    <w:rsid w:val="00DC43A3"/>
    <w:rsid w:val="00DD6DB7"/>
    <w:rsid w:val="00DD7C09"/>
    <w:rsid w:val="00DE54CF"/>
    <w:rsid w:val="00DF791C"/>
    <w:rsid w:val="00E0124F"/>
    <w:rsid w:val="00E02E0D"/>
    <w:rsid w:val="00E06286"/>
    <w:rsid w:val="00E17376"/>
    <w:rsid w:val="00E23D98"/>
    <w:rsid w:val="00E357D4"/>
    <w:rsid w:val="00E403B9"/>
    <w:rsid w:val="00E5341E"/>
    <w:rsid w:val="00E545D9"/>
    <w:rsid w:val="00E65FC2"/>
    <w:rsid w:val="00E674D3"/>
    <w:rsid w:val="00E70FD0"/>
    <w:rsid w:val="00E77ECB"/>
    <w:rsid w:val="00E80263"/>
    <w:rsid w:val="00EA7027"/>
    <w:rsid w:val="00EB1EA7"/>
    <w:rsid w:val="00EB2081"/>
    <w:rsid w:val="00EB213C"/>
    <w:rsid w:val="00EC249E"/>
    <w:rsid w:val="00EE3496"/>
    <w:rsid w:val="00EF2406"/>
    <w:rsid w:val="00EF4EB8"/>
    <w:rsid w:val="00F00257"/>
    <w:rsid w:val="00F06B18"/>
    <w:rsid w:val="00F27A79"/>
    <w:rsid w:val="00F4332D"/>
    <w:rsid w:val="00F451F3"/>
    <w:rsid w:val="00F5332C"/>
    <w:rsid w:val="00F55E0A"/>
    <w:rsid w:val="00F626B7"/>
    <w:rsid w:val="00F650EB"/>
    <w:rsid w:val="00F71216"/>
    <w:rsid w:val="00F84067"/>
    <w:rsid w:val="00F85CC6"/>
    <w:rsid w:val="00F871F5"/>
    <w:rsid w:val="00F919CE"/>
    <w:rsid w:val="00FC156A"/>
    <w:rsid w:val="00FC7A38"/>
    <w:rsid w:val="00FD7393"/>
    <w:rsid w:val="00FE3DE5"/>
    <w:rsid w:val="00FF137B"/>
    <w:rsid w:val="00FF30B7"/>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4D85E"/>
  <w15:docId w15:val="{E8834187-8A58-45BA-94E5-D39FF04E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26B5E"/>
    <w:rPr>
      <w:color w:val="605E5C"/>
      <w:shd w:val="clear" w:color="auto" w:fill="E1DFDD"/>
    </w:rPr>
  </w:style>
  <w:style w:type="character" w:styleId="FollowedHyperlink">
    <w:name w:val="FollowedHyperlink"/>
    <w:basedOn w:val="DefaultParagraphFont"/>
    <w:semiHidden/>
    <w:unhideWhenUsed/>
    <w:rsid w:val="00926B5E"/>
    <w:rPr>
      <w:color w:val="800080" w:themeColor="followedHyperlink"/>
      <w:u w:val="single"/>
    </w:rPr>
  </w:style>
  <w:style w:type="paragraph" w:styleId="Revision">
    <w:name w:val="Revision"/>
    <w:hidden/>
    <w:uiPriority w:val="99"/>
    <w:semiHidden/>
    <w:rsid w:val="00231F10"/>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magovau-my.sharepoint.com/personal/christopher_hose_acma_gov_au/Documents/Desktop/WRC-23/APG23-4/Editorial%20Committe/OUT%20review/WP3/APG23-4-INP-36_KOR_WP3_Preliminary_Views_on_WRC-23_Agenda_Items_1.12_1.13_1.14_and_9.1Topic_a_and_d.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cmagovau-my.sharepoint.com/personal/christopher_hose_acma_gov_au/Documents/Desktop/WRC-23/APG23-4/Editorial%20Committe/OUT%20review/WP3/APG23-4-INP-21_BGD_WP3_Preliminary_Views_on_WRC-23_Agenda_Items_1.13_and_1.1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magovau-my.sharepoint.com/personal/christopher_hose_acma_gov_au/Documents/Desktop/WRC-23/APG23-4/Editorial%20Committe/OUT%20review/WP3/APG23-4-INP-68_MLA_WP3_Preliminary_Views_on_WRC-23_Agenda_Items_1.12_and_1.1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agovau-my.sharepoint.com/personal/christopher_hose_acma_gov_au/Documents/Desktop/WRC-23/APG23-4/Editorial%20Committe/OUT%20review/WP3/APG23-4-INP-16_AUS_WP3_Preliminary_Views_on_WRC-23_Agenda_Items_1.12_1.13_1.14_9.1Topics_a_and_d.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magovau-my.sharepoint.com/personal/christopher_hose_acma_gov_au/Documents/Desktop/WRC-23/APG23-4/Editorial%20Committe/OUT%20review/WP3/APG23-4-INP-63_India_WP3_Preliminary_Views_on_WRC-23_Agenda_Items_1.12_1.13_1.14_9.1Topic_a_and_d.docx" TargetMode="External"/><Relationship Id="rId23" Type="http://schemas.openxmlformats.org/officeDocument/2006/relationships/fontTable" Target="fontTable.xml"/><Relationship Id="rId10" Type="http://schemas.openxmlformats.org/officeDocument/2006/relationships/hyperlink" Target="https://acmagovau-my.sharepoint.com/personal/christopher_hose_acma_gov_au/Documents/Desktop/WRC-23/APG23-4/Editorial%20Committe/OUT%20review/WP3/APG23-4-INP-09_J-3_WP3_Preliminary_Views_on_WRC-23_Agenda_Items_1.12_1.13_1.14_9.1.A_9.1.D_and_RES.655.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meetingdoc.asp?lang=en&amp;parent=R19-WP7C-C-0059" TargetMode="External"/><Relationship Id="rId14" Type="http://schemas.openxmlformats.org/officeDocument/2006/relationships/hyperlink" Target="https://acmagovau-my.sharepoint.com/personal/christopher_hose_acma_gov_au/Documents/Desktop/WRC-23/APG23-4/Editorial%20Committe/OUT%20review/WP3/APG23-4-INP-42_China_WP3_Preliminary_Views_on_WRC-23_Agenda_Items_1.12_1.13_1.14_9.1Topic_a_and_d.doc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WRC-23\APG4\INPUT%20CONTRIBUTION%20APG-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3E02-2ABD-495E-8C8F-7555B670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2004-07-28T02:14:00Z</cp:lastPrinted>
  <dcterms:created xsi:type="dcterms:W3CDTF">2022-08-29T05:48:00Z</dcterms:created>
  <dcterms:modified xsi:type="dcterms:W3CDTF">2022-08-29T05:48:00Z</dcterms:modified>
</cp:coreProperties>
</file>